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F278E4" w:rsidRPr="002941D2" w:rsidTr="0007095A">
        <w:trPr>
          <w:gridAfter w:val="1"/>
          <w:wAfter w:w="4876" w:type="dxa"/>
          <w:trHeight w:val="1219"/>
        </w:trPr>
        <w:tc>
          <w:tcPr>
            <w:tcW w:w="5102" w:type="dxa"/>
            <w:vMerge w:val="restart"/>
          </w:tcPr>
          <w:p w:rsidR="00F278E4" w:rsidRPr="00783544" w:rsidRDefault="00F278E4" w:rsidP="0007095A">
            <w:pPr>
              <w:pStyle w:val="Texte85pt"/>
              <w:rPr>
                <w:lang w:val="fr-CH"/>
              </w:rPr>
            </w:pPr>
            <w:bookmarkStart w:id="0" w:name="_GoBack"/>
            <w:bookmarkEnd w:id="0"/>
            <w:r w:rsidRPr="00A54B88">
              <w:rPr>
                <w:lang w:val="fr-CH"/>
              </w:rPr>
              <w:t>Direction de l’intérieur et de la justice</w:t>
            </w:r>
          </w:p>
          <w:p w:rsidR="00F278E4" w:rsidRPr="00783544" w:rsidRDefault="00F278E4" w:rsidP="001B4DBF">
            <w:pPr>
              <w:pStyle w:val="Texte85pt"/>
              <w:rPr>
                <w:lang w:val="fr-CH"/>
              </w:rPr>
            </w:pPr>
            <w:r>
              <w:rPr>
                <w:lang w:val="fr-CH"/>
              </w:rPr>
              <w:t>Office des mineurs</w:t>
            </w:r>
          </w:p>
          <w:p w:rsidR="00F278E4" w:rsidRPr="00783544" w:rsidRDefault="00F278E4" w:rsidP="001B4DBF">
            <w:pPr>
              <w:pStyle w:val="Texte85pt"/>
              <w:rPr>
                <w:lang w:val="fr-CH"/>
              </w:rPr>
            </w:pPr>
          </w:p>
          <w:p w:rsidR="00F278E4" w:rsidRDefault="00F278E4" w:rsidP="0007095A">
            <w:pPr>
              <w:pStyle w:val="Texte85pt"/>
              <w:rPr>
                <w:lang w:val="fr-CH"/>
              </w:rPr>
            </w:pPr>
            <w:proofErr w:type="spellStart"/>
            <w:r>
              <w:rPr>
                <w:lang w:val="fr-CH"/>
              </w:rPr>
              <w:t>Hallerstrasse</w:t>
            </w:r>
            <w:proofErr w:type="spellEnd"/>
            <w:r>
              <w:rPr>
                <w:lang w:val="fr-CH"/>
              </w:rPr>
              <w:t xml:space="preserve"> 5</w:t>
            </w:r>
          </w:p>
          <w:p w:rsidR="00F278E4" w:rsidRPr="00783544" w:rsidRDefault="00F278E4" w:rsidP="0007095A">
            <w:pPr>
              <w:pStyle w:val="Texte85pt"/>
              <w:rPr>
                <w:lang w:val="fr-CH"/>
              </w:rPr>
            </w:pPr>
            <w:r>
              <w:rPr>
                <w:lang w:val="fr-CH"/>
              </w:rPr>
              <w:t>Case postale</w:t>
            </w:r>
          </w:p>
          <w:p w:rsidR="00F278E4" w:rsidRPr="0028546A" w:rsidRDefault="00F278E4" w:rsidP="0007095A">
            <w:pPr>
              <w:pStyle w:val="Texte85pt"/>
            </w:pPr>
            <w:r w:rsidRPr="0028546A">
              <w:t xml:space="preserve">3001 </w:t>
            </w:r>
            <w:proofErr w:type="spellStart"/>
            <w:r w:rsidRPr="0028546A">
              <w:t>Berne</w:t>
            </w:r>
            <w:proofErr w:type="spellEnd"/>
          </w:p>
          <w:p w:rsidR="00F278E4" w:rsidRPr="0028546A" w:rsidRDefault="00F278E4" w:rsidP="0007095A">
            <w:pPr>
              <w:pStyle w:val="Texte85pt"/>
            </w:pPr>
            <w:r w:rsidRPr="0028546A">
              <w:t>+41 31 633 76 33</w:t>
            </w:r>
          </w:p>
          <w:p w:rsidR="00F278E4" w:rsidRPr="0028546A" w:rsidRDefault="00F278E4" w:rsidP="0007095A">
            <w:pPr>
              <w:pStyle w:val="Texte85pt"/>
            </w:pPr>
            <w:r>
              <w:t>k</w:t>
            </w:r>
            <w:r w:rsidRPr="0028546A">
              <w:t>ja-bern@be.ch</w:t>
            </w:r>
          </w:p>
          <w:p w:rsidR="00F278E4" w:rsidRPr="0028546A" w:rsidRDefault="00F278E4" w:rsidP="0007095A">
            <w:pPr>
              <w:pStyle w:val="Texte85pt"/>
            </w:pPr>
            <w:r w:rsidRPr="0028546A">
              <w:t>www.be.ch/</w:t>
            </w:r>
            <w:r>
              <w:t>om</w:t>
            </w:r>
          </w:p>
          <w:p w:rsidR="00F278E4" w:rsidRPr="0028546A" w:rsidRDefault="00F278E4" w:rsidP="0007095A">
            <w:pPr>
              <w:pStyle w:val="Texte85pt"/>
            </w:pPr>
          </w:p>
          <w:p w:rsidR="00F278E4" w:rsidRPr="00E10385" w:rsidRDefault="00F278E4" w:rsidP="008D57E8">
            <w:pPr>
              <w:pStyle w:val="Texte85pt"/>
            </w:pPr>
          </w:p>
        </w:tc>
      </w:tr>
      <w:tr w:rsidR="00F278E4" w:rsidRPr="00783544" w:rsidTr="00F278E4">
        <w:trPr>
          <w:gridAfter w:val="1"/>
          <w:wAfter w:w="4876" w:type="dxa"/>
          <w:trHeight w:val="1082"/>
        </w:trPr>
        <w:tc>
          <w:tcPr>
            <w:tcW w:w="5102" w:type="dxa"/>
            <w:vMerge/>
          </w:tcPr>
          <w:p w:rsidR="00F278E4" w:rsidRPr="00F278E4" w:rsidRDefault="00F278E4" w:rsidP="0007095A"/>
        </w:tc>
      </w:tr>
      <w:tr w:rsidR="00AA0E6D" w:rsidRPr="00783544" w:rsidTr="0007095A">
        <w:trPr>
          <w:trHeight w:val="283"/>
        </w:trPr>
        <w:tc>
          <w:tcPr>
            <w:tcW w:w="5102" w:type="dxa"/>
            <w:vMerge/>
          </w:tcPr>
          <w:p w:rsidR="00AA0E6D" w:rsidRPr="00F278E4" w:rsidRDefault="00AA0E6D" w:rsidP="0007095A"/>
        </w:tc>
        <w:tc>
          <w:tcPr>
            <w:tcW w:w="4876" w:type="dxa"/>
          </w:tcPr>
          <w:p w:rsidR="00AA0E6D" w:rsidRPr="00F278E4" w:rsidRDefault="00AA0E6D" w:rsidP="0007095A">
            <w:pPr>
              <w:pStyle w:val="Texte85pt"/>
            </w:pPr>
          </w:p>
        </w:tc>
      </w:tr>
    </w:tbl>
    <w:p w:rsidR="00257D25" w:rsidRDefault="00257D25" w:rsidP="00394A39">
      <w:pPr>
        <w:pBdr>
          <w:top w:val="single" w:sz="6" w:space="1" w:color="auto"/>
          <w:left w:val="single" w:sz="6" w:space="2" w:color="auto"/>
          <w:bottom w:val="single" w:sz="6" w:space="1" w:color="auto"/>
          <w:right w:val="single" w:sz="6" w:space="0" w:color="auto"/>
        </w:pBdr>
        <w:shd w:val="clear" w:color="auto" w:fill="E6E6E6"/>
        <w:tabs>
          <w:tab w:val="right" w:pos="9515"/>
        </w:tabs>
        <w:ind w:right="463"/>
        <w:jc w:val="center"/>
        <w:outlineLvl w:val="0"/>
        <w:rPr>
          <w:b/>
          <w:sz w:val="26"/>
          <w:lang w:val="fr-CH"/>
        </w:rPr>
      </w:pPr>
      <w:r w:rsidRPr="00BA7961">
        <w:rPr>
          <w:b/>
          <w:sz w:val="26"/>
          <w:lang w:val="fr-CH"/>
        </w:rPr>
        <w:t xml:space="preserve">Prestation: </w:t>
      </w:r>
      <w:r>
        <w:rPr>
          <w:b/>
          <w:sz w:val="26"/>
          <w:lang w:val="fr-CH"/>
        </w:rPr>
        <w:t>s</w:t>
      </w:r>
      <w:r w:rsidRPr="00BA7961">
        <w:rPr>
          <w:b/>
          <w:sz w:val="26"/>
          <w:lang w:val="fr-CH"/>
        </w:rPr>
        <w:t>uivi intensif dans le cadre d’un placement résidentiel</w:t>
      </w:r>
    </w:p>
    <w:p w:rsidR="00257D25" w:rsidRPr="00BA7961" w:rsidRDefault="00257D25" w:rsidP="00257D25">
      <w:pPr>
        <w:rPr>
          <w:lang w:val="fr-CH"/>
        </w:rPr>
      </w:pPr>
    </w:p>
    <w:tbl>
      <w:tblPr>
        <w:tblW w:w="9214" w:type="dxa"/>
        <w:tblLayout w:type="fixed"/>
        <w:tblCellMar>
          <w:left w:w="70" w:type="dxa"/>
          <w:right w:w="70" w:type="dxa"/>
        </w:tblCellMar>
        <w:tblLook w:val="0000" w:firstRow="0" w:lastRow="0" w:firstColumn="0" w:lastColumn="0" w:noHBand="0" w:noVBand="0"/>
      </w:tblPr>
      <w:tblGrid>
        <w:gridCol w:w="2268"/>
        <w:gridCol w:w="6946"/>
      </w:tblGrid>
      <w:tr w:rsidR="00257D25" w:rsidTr="00FB4BB7">
        <w:trPr>
          <w:cantSplit/>
        </w:trPr>
        <w:tc>
          <w:tcPr>
            <w:tcW w:w="2268" w:type="dxa"/>
          </w:tcPr>
          <w:p w:rsidR="00257D25" w:rsidRDefault="00257D25" w:rsidP="00FB4BB7">
            <w:pPr>
              <w:tabs>
                <w:tab w:val="right" w:pos="14175"/>
              </w:tabs>
              <w:spacing w:before="100" w:after="100"/>
              <w:rPr>
                <w:b/>
                <w:sz w:val="20"/>
                <w:lang w:val="de-DE"/>
              </w:rPr>
            </w:pPr>
            <w:r w:rsidRPr="006E47B2">
              <w:rPr>
                <w:rFonts w:eastAsia="Arial" w:cs="Times New Roman"/>
                <w:b/>
                <w:sz w:val="20"/>
                <w:lang w:val="fr-CH"/>
              </w:rPr>
              <w:t>Catalogue de prestations</w:t>
            </w:r>
            <w:r>
              <w:rPr>
                <w:b/>
                <w:sz w:val="20"/>
                <w:lang w:val="de-DE"/>
              </w:rPr>
              <w:t>:</w:t>
            </w:r>
          </w:p>
        </w:tc>
        <w:tc>
          <w:tcPr>
            <w:tcW w:w="6946" w:type="dxa"/>
            <w:tcBorders>
              <w:top w:val="single" w:sz="6" w:space="0" w:color="auto"/>
              <w:left w:val="single" w:sz="6" w:space="0" w:color="auto"/>
              <w:bottom w:val="single" w:sz="6" w:space="0" w:color="auto"/>
              <w:right w:val="single" w:sz="6" w:space="0" w:color="auto"/>
            </w:tcBorders>
          </w:tcPr>
          <w:p w:rsidR="00257D25" w:rsidRDefault="00257D25" w:rsidP="00FB4BB7">
            <w:pPr>
              <w:tabs>
                <w:tab w:val="right" w:pos="14175"/>
              </w:tabs>
              <w:spacing w:before="100" w:after="100"/>
              <w:jc w:val="center"/>
              <w:rPr>
                <w:b/>
                <w:sz w:val="20"/>
                <w:lang w:val="de-DE"/>
              </w:rPr>
            </w:pPr>
            <w:r w:rsidRPr="006E47B2">
              <w:rPr>
                <w:rFonts w:eastAsia="Arial" w:cs="Times New Roman"/>
                <w:b/>
                <w:sz w:val="20"/>
                <w:lang w:val="fr-CH"/>
              </w:rPr>
              <w:t>Prestation de type résidentiel</w:t>
            </w:r>
          </w:p>
        </w:tc>
      </w:tr>
    </w:tbl>
    <w:p w:rsidR="00257D25" w:rsidRDefault="00257D25" w:rsidP="00257D25">
      <w:pPr>
        <w:tabs>
          <w:tab w:val="right" w:pos="14175"/>
        </w:tabs>
        <w:rPr>
          <w:sz w:val="20"/>
          <w:lang w:val="de-DE"/>
        </w:rPr>
      </w:pPr>
    </w:p>
    <w:tbl>
      <w:tblPr>
        <w:tblW w:w="0" w:type="auto"/>
        <w:tblLayout w:type="fixed"/>
        <w:tblCellMar>
          <w:left w:w="70" w:type="dxa"/>
          <w:right w:w="70" w:type="dxa"/>
        </w:tblCellMar>
        <w:tblLook w:val="0000" w:firstRow="0" w:lastRow="0" w:firstColumn="0" w:lastColumn="0" w:noHBand="0" w:noVBand="0"/>
      </w:tblPr>
      <w:tblGrid>
        <w:gridCol w:w="2403"/>
        <w:gridCol w:w="6807"/>
      </w:tblGrid>
      <w:tr w:rsidR="00257D25" w:rsidRPr="003203A9" w:rsidTr="00257D25">
        <w:trPr>
          <w:cantSplit/>
        </w:trPr>
        <w:tc>
          <w:tcPr>
            <w:tcW w:w="2403" w:type="dxa"/>
          </w:tcPr>
          <w:p w:rsidR="00257D25" w:rsidRDefault="00257D25" w:rsidP="00FB4BB7">
            <w:pPr>
              <w:tabs>
                <w:tab w:val="right" w:pos="14175"/>
              </w:tabs>
              <w:spacing w:before="120"/>
              <w:rPr>
                <w:b/>
                <w:sz w:val="20"/>
                <w:lang w:val="de-DE"/>
              </w:rPr>
            </w:pPr>
            <w:r w:rsidRPr="006E47B2">
              <w:rPr>
                <w:rFonts w:eastAsia="Arial" w:cs="Times New Roman"/>
                <w:b/>
                <w:sz w:val="20"/>
                <w:lang w:val="fr-CH"/>
              </w:rPr>
              <w:t>Descriptif de la prestation</w:t>
            </w:r>
            <w:r>
              <w:rPr>
                <w:b/>
                <w:sz w:val="20"/>
                <w:lang w:val="de-DE"/>
              </w:rPr>
              <w:t>:</w:t>
            </w:r>
          </w:p>
        </w:tc>
        <w:tc>
          <w:tcPr>
            <w:tcW w:w="6807" w:type="dxa"/>
          </w:tcPr>
          <w:p w:rsidR="00257D25" w:rsidRPr="00730C43" w:rsidRDefault="00257D25" w:rsidP="00DD7987">
            <w:pPr>
              <w:tabs>
                <w:tab w:val="right" w:pos="14175"/>
              </w:tabs>
              <w:spacing w:before="120" w:after="120" w:line="240" w:lineRule="atLeast"/>
              <w:rPr>
                <w:sz w:val="20"/>
                <w:highlight w:val="lightGray"/>
                <w:lang w:val="fr-CH"/>
              </w:rPr>
            </w:pPr>
            <w:r>
              <w:rPr>
                <w:sz w:val="20"/>
                <w:lang w:val="fr-CH"/>
              </w:rPr>
              <w:t>I</w:t>
            </w:r>
            <w:r w:rsidRPr="00730C43">
              <w:rPr>
                <w:sz w:val="20"/>
                <w:lang w:val="fr-CH"/>
              </w:rPr>
              <w:t xml:space="preserve">l s’agit d’offrir aux enfants et aux </w:t>
            </w:r>
            <w:r>
              <w:rPr>
                <w:sz w:val="20"/>
                <w:lang w:val="fr-CH"/>
              </w:rPr>
              <w:t>adolescents</w:t>
            </w:r>
            <w:r w:rsidRPr="00730C43">
              <w:rPr>
                <w:sz w:val="20"/>
                <w:lang w:val="fr-CH"/>
              </w:rPr>
              <w:t xml:space="preserve"> souffrant de graves troubles psychiques</w:t>
            </w:r>
            <w:r>
              <w:rPr>
                <w:sz w:val="20"/>
                <w:lang w:val="fr-CH"/>
              </w:rPr>
              <w:t xml:space="preserve"> et psycho-sociaux</w:t>
            </w:r>
            <w:r w:rsidRPr="00730C43">
              <w:rPr>
                <w:sz w:val="20"/>
                <w:lang w:val="fr-CH"/>
              </w:rPr>
              <w:t xml:space="preserve"> des cadres à la fois individuels et variés, qui répondent à leurs besoins</w:t>
            </w:r>
            <w:r>
              <w:rPr>
                <w:sz w:val="20"/>
                <w:lang w:val="fr-CH"/>
              </w:rPr>
              <w:t>, pour une durée limitée</w:t>
            </w:r>
            <w:r w:rsidRPr="00730C43">
              <w:rPr>
                <w:sz w:val="20"/>
                <w:lang w:val="fr-CH"/>
              </w:rPr>
              <w:t>.</w:t>
            </w:r>
            <w:r>
              <w:rPr>
                <w:sz w:val="20"/>
                <w:lang w:val="fr-CH"/>
              </w:rPr>
              <w:t xml:space="preserve"> Ces enfants et adolescents vivent dans les locaux d’une institution de type résidentiel (il peut aussi s’agir d’un appartement) ou dans une famille d’accueil et </w:t>
            </w:r>
            <w:r w:rsidRPr="00735651">
              <w:rPr>
                <w:sz w:val="20"/>
                <w:lang w:val="fr-CH"/>
              </w:rPr>
              <w:t>y sont</w:t>
            </w:r>
            <w:r>
              <w:rPr>
                <w:sz w:val="20"/>
                <w:lang w:val="fr-CH"/>
              </w:rPr>
              <w:t xml:space="preserve"> évalués, puis</w:t>
            </w:r>
            <w:r w:rsidRPr="00735651">
              <w:rPr>
                <w:sz w:val="20"/>
                <w:lang w:val="fr-CH"/>
              </w:rPr>
              <w:t xml:space="preserve"> encadrés et encouragés par des </w:t>
            </w:r>
            <w:r>
              <w:rPr>
                <w:sz w:val="20"/>
                <w:lang w:val="fr-CH"/>
              </w:rPr>
              <w:t xml:space="preserve">mesures de pédagogie sociale, </w:t>
            </w:r>
            <w:r w:rsidRPr="00735651">
              <w:rPr>
                <w:sz w:val="20"/>
                <w:lang w:val="fr-CH"/>
              </w:rPr>
              <w:t>de psychologie</w:t>
            </w:r>
            <w:r>
              <w:rPr>
                <w:sz w:val="20"/>
                <w:lang w:val="fr-CH"/>
              </w:rPr>
              <w:t xml:space="preserve"> et d’intégration sociale</w:t>
            </w:r>
            <w:r w:rsidRPr="00735651">
              <w:rPr>
                <w:sz w:val="20"/>
                <w:lang w:val="fr-CH"/>
              </w:rPr>
              <w:t>.</w:t>
            </w:r>
            <w:r>
              <w:rPr>
                <w:sz w:val="20"/>
                <w:lang w:val="fr-CH"/>
              </w:rPr>
              <w:t xml:space="preserve"> </w:t>
            </w:r>
            <w:r w:rsidRPr="00A35E8C">
              <w:rPr>
                <w:sz w:val="20"/>
                <w:lang w:val="fr-CH"/>
              </w:rPr>
              <w:t>Les offres de conseil, les services de pédopsychiatrie ainsi que le travail avec les parents sont assurés.</w:t>
            </w:r>
            <w:r>
              <w:rPr>
                <w:sz w:val="20"/>
                <w:lang w:val="fr-CH"/>
              </w:rPr>
              <w:t xml:space="preserve"> Les enfants et adolescents sont </w:t>
            </w:r>
            <w:r w:rsidRPr="00A35E8C">
              <w:rPr>
                <w:sz w:val="20"/>
                <w:lang w:val="fr-CH"/>
              </w:rPr>
              <w:t>scolarisés individuellement dans l’école du prestataire.</w:t>
            </w:r>
            <w:r>
              <w:rPr>
                <w:sz w:val="20"/>
                <w:lang w:val="fr-CH"/>
              </w:rPr>
              <w:t xml:space="preserve"> La prestation</w:t>
            </w:r>
            <w:proofErr w:type="gramStart"/>
            <w:r>
              <w:rPr>
                <w:sz w:val="20"/>
                <w:lang w:val="fr-CH"/>
              </w:rPr>
              <w:t xml:space="preserve"> «suivi</w:t>
            </w:r>
            <w:proofErr w:type="gramEnd"/>
            <w:r>
              <w:rPr>
                <w:sz w:val="20"/>
                <w:lang w:val="fr-CH"/>
              </w:rPr>
              <w:t xml:space="preserve"> intensif» englobe la gestion des cas (coordination de systèmes de prise en charge orientés vers des besoins individuels et variés) ainsi que le suivi intensif sur les plans socio-pédagogique, psychologique et scolaire dans un cadre qui a été défini au préalable. Au centre de ce suivi: une analyse de la situation dynamique et axée sur l’intervention. </w:t>
            </w:r>
          </w:p>
          <w:p w:rsidR="00257D25" w:rsidRPr="008A3238" w:rsidRDefault="00257D25" w:rsidP="00DD7987">
            <w:pPr>
              <w:tabs>
                <w:tab w:val="right" w:pos="14175"/>
              </w:tabs>
              <w:spacing w:before="120" w:after="120" w:line="240" w:lineRule="atLeast"/>
              <w:rPr>
                <w:sz w:val="20"/>
                <w:lang w:val="fr-CH"/>
              </w:rPr>
            </w:pPr>
            <w:r w:rsidRPr="00B94121">
              <w:rPr>
                <w:sz w:val="20"/>
                <w:lang w:val="fr-CH"/>
              </w:rPr>
              <w:t>Le suivi s</w:t>
            </w:r>
            <w:r>
              <w:rPr>
                <w:sz w:val="20"/>
                <w:lang w:val="fr-CH"/>
              </w:rPr>
              <w:t xml:space="preserve">e déroule en deux </w:t>
            </w:r>
            <w:r w:rsidRPr="00B94121">
              <w:rPr>
                <w:sz w:val="20"/>
                <w:lang w:val="fr-CH"/>
              </w:rPr>
              <w:t>phases:</w:t>
            </w:r>
            <w:r>
              <w:rPr>
                <w:sz w:val="20"/>
                <w:lang w:val="fr-CH"/>
              </w:rPr>
              <w:t xml:space="preserve"> une phase d’hébergement pour commencer (3 à 4 mois), puis une phase de stabilisation et d’encadrement. La durée globale du suivi est de 18 mois au maximum. </w:t>
            </w:r>
            <w:r w:rsidRPr="00A73870">
              <w:rPr>
                <w:sz w:val="20"/>
                <w:lang w:val="fr-CH"/>
              </w:rPr>
              <w:t>Il revient au commanditaire de prestations de décider d’une éventuelle prolongation de l’encadrement.</w:t>
            </w:r>
          </w:p>
        </w:tc>
      </w:tr>
      <w:tr w:rsidR="00257D25" w:rsidRPr="003203A9" w:rsidTr="00257D25">
        <w:trPr>
          <w:cantSplit/>
        </w:trPr>
        <w:tc>
          <w:tcPr>
            <w:tcW w:w="2403" w:type="dxa"/>
          </w:tcPr>
          <w:p w:rsidR="00257D25" w:rsidRDefault="00257D25" w:rsidP="00FB4BB7">
            <w:pPr>
              <w:tabs>
                <w:tab w:val="right" w:pos="14175"/>
              </w:tabs>
              <w:spacing w:before="120" w:after="100"/>
              <w:rPr>
                <w:b/>
                <w:sz w:val="20"/>
                <w:lang w:val="de-DE"/>
              </w:rPr>
            </w:pPr>
            <w:r w:rsidRPr="006E47B2">
              <w:rPr>
                <w:rFonts w:eastAsia="Arial" w:cs="Times New Roman"/>
                <w:b/>
                <w:sz w:val="20"/>
                <w:lang w:val="fr-CH"/>
              </w:rPr>
              <w:t>Objectifs supérieurs</w:t>
            </w:r>
            <w:r>
              <w:rPr>
                <w:b/>
                <w:sz w:val="20"/>
                <w:lang w:val="de-DE"/>
              </w:rPr>
              <w:t>:</w:t>
            </w:r>
          </w:p>
        </w:tc>
        <w:tc>
          <w:tcPr>
            <w:tcW w:w="6807" w:type="dxa"/>
          </w:tcPr>
          <w:p w:rsidR="00257D25" w:rsidRPr="009168D4" w:rsidRDefault="00257D25" w:rsidP="00DD7987">
            <w:pPr>
              <w:tabs>
                <w:tab w:val="right" w:pos="14175"/>
              </w:tabs>
              <w:spacing w:before="120" w:after="120" w:line="240" w:lineRule="atLeast"/>
              <w:rPr>
                <w:sz w:val="20"/>
                <w:lang w:val="fr-CH"/>
              </w:rPr>
            </w:pPr>
            <w:r w:rsidRPr="00BB75F2">
              <w:rPr>
                <w:sz w:val="20"/>
                <w:lang w:val="fr-CH"/>
              </w:rPr>
              <w:t>L’enfant ou l’adolescent(e) est soutenu</w:t>
            </w:r>
            <w:r>
              <w:rPr>
                <w:sz w:val="20"/>
                <w:lang w:val="fr-CH"/>
              </w:rPr>
              <w:t>(e)</w:t>
            </w:r>
            <w:r w:rsidRPr="00BB75F2">
              <w:rPr>
                <w:sz w:val="20"/>
                <w:lang w:val="fr-CH"/>
              </w:rPr>
              <w:t xml:space="preserve"> dans son développement </w:t>
            </w:r>
            <w:r w:rsidRPr="00257D25">
              <w:rPr>
                <w:sz w:val="20"/>
                <w:lang w:val="fr-CH"/>
              </w:rPr>
              <w:t>aux plans émotionnel, social, mental, intellectuel et physique dans le cadre d’objectifs qui ont fait l’objet d’un accord. Une stabilisation aussi bien psychique que sociale est atteinte et une intégration sociale conforme à son âge est encouragée.</w:t>
            </w:r>
          </w:p>
        </w:tc>
      </w:tr>
      <w:tr w:rsidR="00257D25" w:rsidRPr="003203A9" w:rsidTr="00257D25">
        <w:trPr>
          <w:cantSplit/>
        </w:trPr>
        <w:tc>
          <w:tcPr>
            <w:tcW w:w="2403" w:type="dxa"/>
          </w:tcPr>
          <w:p w:rsidR="00257D25" w:rsidRDefault="00257D25" w:rsidP="00FB4BB7">
            <w:pPr>
              <w:tabs>
                <w:tab w:val="right" w:pos="14175"/>
              </w:tabs>
              <w:spacing w:before="120"/>
              <w:rPr>
                <w:b/>
                <w:sz w:val="20"/>
                <w:lang w:val="de-DE"/>
              </w:rPr>
            </w:pPr>
            <w:r w:rsidRPr="006E47B2">
              <w:rPr>
                <w:rFonts w:eastAsia="Arial" w:cs="Times New Roman"/>
                <w:b/>
                <w:sz w:val="20"/>
                <w:lang w:val="fr-CH"/>
              </w:rPr>
              <w:t>Destinataires de la prestation</w:t>
            </w:r>
            <w:r>
              <w:rPr>
                <w:b/>
                <w:sz w:val="20"/>
                <w:lang w:val="de-DE"/>
              </w:rPr>
              <w:t>:</w:t>
            </w:r>
          </w:p>
        </w:tc>
        <w:tc>
          <w:tcPr>
            <w:tcW w:w="6807" w:type="dxa"/>
          </w:tcPr>
          <w:p w:rsidR="00257D25" w:rsidRPr="00257D25" w:rsidRDefault="00257D25" w:rsidP="00DD7987">
            <w:pPr>
              <w:tabs>
                <w:tab w:val="right" w:pos="14175"/>
              </w:tabs>
              <w:spacing w:before="120" w:after="120" w:line="240" w:lineRule="atLeast"/>
              <w:rPr>
                <w:sz w:val="20"/>
                <w:lang w:val="fr-CH"/>
              </w:rPr>
            </w:pPr>
            <w:r w:rsidRPr="00257D25">
              <w:rPr>
                <w:sz w:val="20"/>
                <w:lang w:val="fr-CH"/>
              </w:rPr>
              <w:t>Les enfants et adolescents qui se trouvent dans des situations excessivement difficiles, notamment ceux qui ont déjà vécu des moments de crise ou des ruptures au sein d’institutions socio-pédagogiques ou de familles d’accueil et dont les besoins spécifiques, individuels et complexes en termes d’encadrement et de formation n’ont pas pu suffisamment être satisfaits dans le cadre du précédent placement résidentiel.</w:t>
            </w:r>
          </w:p>
        </w:tc>
      </w:tr>
    </w:tbl>
    <w:p w:rsidR="00257D25" w:rsidRPr="00E04F12" w:rsidRDefault="00257D25" w:rsidP="00257D25">
      <w:pPr>
        <w:tabs>
          <w:tab w:val="right" w:pos="14175"/>
        </w:tabs>
        <w:rPr>
          <w:i/>
          <w:sz w:val="20"/>
          <w:lang w:val="fr-CH"/>
        </w:rPr>
      </w:pPr>
      <w:r w:rsidRPr="005D2052">
        <w:rPr>
          <w:i/>
          <w:sz w:val="20"/>
          <w:lang w:val="fr-CH"/>
        </w:rPr>
        <w:t xml:space="preserve">Les objectifs de la prestation sont contraignants. </w:t>
      </w:r>
      <w:r w:rsidRPr="006E47B2">
        <w:rPr>
          <w:rFonts w:eastAsia="Arial" w:cs="Times New Roman"/>
          <w:i/>
          <w:sz w:val="20"/>
          <w:lang w:val="fr-CH"/>
        </w:rPr>
        <w:t>Plusieurs indicateurs et standards peuvent être rattachés à un objectif de prestation</w:t>
      </w:r>
      <w:r>
        <w:rPr>
          <w:rFonts w:eastAsia="Arial" w:cs="Times New Roman"/>
          <w:i/>
          <w:sz w:val="20"/>
          <w:lang w:val="fr-CH"/>
        </w:rPr>
        <w:t>.</w:t>
      </w:r>
    </w:p>
    <w:tbl>
      <w:tblPr>
        <w:tblW w:w="0" w:type="auto"/>
        <w:tblLayout w:type="fixed"/>
        <w:tblCellMar>
          <w:left w:w="70" w:type="dxa"/>
          <w:right w:w="70" w:type="dxa"/>
        </w:tblCellMar>
        <w:tblLook w:val="0000" w:firstRow="0" w:lastRow="0" w:firstColumn="0" w:lastColumn="0" w:noHBand="0" w:noVBand="0"/>
      </w:tblPr>
      <w:tblGrid>
        <w:gridCol w:w="2410"/>
        <w:gridCol w:w="6805"/>
      </w:tblGrid>
      <w:tr w:rsidR="00257D25" w:rsidRPr="003203A9" w:rsidTr="003203A9">
        <w:trPr>
          <w:cantSplit/>
        </w:trPr>
        <w:tc>
          <w:tcPr>
            <w:tcW w:w="2410" w:type="dxa"/>
            <w:shd w:val="clear" w:color="auto" w:fill="CCCCCC"/>
          </w:tcPr>
          <w:p w:rsidR="00257D25" w:rsidRDefault="00257D25" w:rsidP="00FB4BB7">
            <w:pPr>
              <w:tabs>
                <w:tab w:val="right" w:pos="14175"/>
              </w:tabs>
              <w:spacing w:before="100" w:after="100"/>
              <w:rPr>
                <w:b/>
                <w:sz w:val="20"/>
                <w:lang w:val="de-DE"/>
              </w:rPr>
            </w:pPr>
            <w:r w:rsidRPr="006E47B2">
              <w:rPr>
                <w:rFonts w:eastAsia="Arial" w:cs="Times New Roman"/>
                <w:b/>
                <w:sz w:val="20"/>
                <w:lang w:val="fr-CH"/>
              </w:rPr>
              <w:lastRenderedPageBreak/>
              <w:t>Objectif 1 de la prestation</w:t>
            </w:r>
            <w:r>
              <w:rPr>
                <w:b/>
                <w:sz w:val="20"/>
                <w:lang w:val="de-DE"/>
              </w:rPr>
              <w:t>:</w:t>
            </w:r>
          </w:p>
        </w:tc>
        <w:tc>
          <w:tcPr>
            <w:tcW w:w="6805" w:type="dxa"/>
            <w:shd w:val="clear" w:color="auto" w:fill="CCCCCC"/>
          </w:tcPr>
          <w:p w:rsidR="00257D25" w:rsidRPr="00257D25" w:rsidRDefault="00257D25" w:rsidP="00DD7987">
            <w:pPr>
              <w:tabs>
                <w:tab w:val="right" w:pos="14175"/>
              </w:tabs>
              <w:spacing w:before="120" w:after="120" w:line="240" w:lineRule="atLeast"/>
              <w:rPr>
                <w:sz w:val="20"/>
                <w:lang w:val="fr-CH"/>
              </w:rPr>
            </w:pPr>
            <w:r>
              <w:rPr>
                <w:sz w:val="20"/>
                <w:lang w:val="fr-CH"/>
              </w:rPr>
              <w:t xml:space="preserve">Le </w:t>
            </w:r>
            <w:r w:rsidRPr="0036065F">
              <w:rPr>
                <w:sz w:val="20"/>
                <w:lang w:val="fr-CH"/>
              </w:rPr>
              <w:t>mandat relatif au suivi intensif et à l’analyse dynamique, dont le contenu, la forme, l’étendue et la durée déterminée peuvent varier</w:t>
            </w:r>
            <w:r>
              <w:rPr>
                <w:sz w:val="20"/>
                <w:lang w:val="fr-CH"/>
              </w:rPr>
              <w:t>, est mis en œuvre avec le concours de</w:t>
            </w:r>
            <w:r w:rsidRPr="0036065F">
              <w:rPr>
                <w:sz w:val="20"/>
                <w:lang w:val="fr-CH"/>
              </w:rPr>
              <w:t xml:space="preserve"> </w:t>
            </w:r>
            <w:r>
              <w:rPr>
                <w:sz w:val="20"/>
                <w:lang w:val="fr-CH"/>
              </w:rPr>
              <w:t>l</w:t>
            </w:r>
            <w:r w:rsidRPr="0036065F">
              <w:rPr>
                <w:sz w:val="20"/>
                <w:lang w:val="fr-CH"/>
              </w:rPr>
              <w:t>’enfant ou l’adolescent(e)</w:t>
            </w:r>
            <w:r>
              <w:rPr>
                <w:sz w:val="20"/>
                <w:lang w:val="fr-CH"/>
              </w:rPr>
              <w:t>, qui y est intégré(e)</w:t>
            </w:r>
            <w:r w:rsidRPr="0036065F">
              <w:rPr>
                <w:sz w:val="20"/>
                <w:lang w:val="fr-CH"/>
              </w:rPr>
              <w:t xml:space="preserve"> d’</w:t>
            </w:r>
            <w:r>
              <w:rPr>
                <w:sz w:val="20"/>
                <w:lang w:val="fr-CH"/>
              </w:rPr>
              <w:t>une manière adaptée à son âge</w:t>
            </w:r>
            <w:r w:rsidRPr="0036065F">
              <w:rPr>
                <w:sz w:val="20"/>
                <w:lang w:val="fr-CH"/>
              </w:rPr>
              <w:t xml:space="preserve">. Après qu’une stabilisation et qu’un apaisement de la situation ont pu être atteints, d’une part </w:t>
            </w:r>
            <w:r>
              <w:rPr>
                <w:sz w:val="20"/>
                <w:lang w:val="fr-CH"/>
              </w:rPr>
              <w:t xml:space="preserve">des objectifs concrets et réalistes, accompagnés d’un calendrier, </w:t>
            </w:r>
            <w:r w:rsidRPr="0036065F">
              <w:rPr>
                <w:sz w:val="20"/>
                <w:lang w:val="fr-CH"/>
              </w:rPr>
              <w:t xml:space="preserve">sont </w:t>
            </w:r>
            <w:r>
              <w:rPr>
                <w:sz w:val="20"/>
                <w:lang w:val="fr-CH"/>
              </w:rPr>
              <w:t>fixés</w:t>
            </w:r>
            <w:r w:rsidRPr="0036065F">
              <w:rPr>
                <w:sz w:val="20"/>
                <w:lang w:val="fr-CH"/>
              </w:rPr>
              <w:t xml:space="preserve"> et d’autre part les rôles des différents acteurs et disciplines sont évalués et harmonisés.</w:t>
            </w:r>
          </w:p>
        </w:tc>
      </w:tr>
      <w:tr w:rsidR="00257D25" w:rsidRPr="002A714E" w:rsidTr="003203A9">
        <w:trPr>
          <w:cantSplit/>
        </w:trPr>
        <w:tc>
          <w:tcPr>
            <w:tcW w:w="2410" w:type="dxa"/>
          </w:tcPr>
          <w:p w:rsidR="00257D25" w:rsidRDefault="00257D25" w:rsidP="00FB4BB7">
            <w:pPr>
              <w:tabs>
                <w:tab w:val="right" w:pos="14175"/>
              </w:tabs>
              <w:spacing w:before="100" w:after="100"/>
              <w:rPr>
                <w:b/>
                <w:sz w:val="20"/>
                <w:lang w:val="de-DE"/>
              </w:rPr>
            </w:pPr>
            <w:r w:rsidRPr="006E47B2">
              <w:rPr>
                <w:rFonts w:eastAsia="Arial" w:cs="Times New Roman"/>
                <w:b/>
                <w:sz w:val="20"/>
                <w:lang w:val="fr-CH"/>
              </w:rPr>
              <w:t>Indicateur 1 pour l’objectif 1</w:t>
            </w:r>
            <w:r>
              <w:rPr>
                <w:b/>
                <w:sz w:val="20"/>
                <w:lang w:val="de-DE"/>
              </w:rPr>
              <w:t>:</w:t>
            </w:r>
          </w:p>
        </w:tc>
        <w:tc>
          <w:tcPr>
            <w:tcW w:w="6805" w:type="dxa"/>
          </w:tcPr>
          <w:p w:rsidR="00257D25" w:rsidRPr="00257D25" w:rsidRDefault="00257D25" w:rsidP="00DD7987">
            <w:pPr>
              <w:tabs>
                <w:tab w:val="right" w:pos="14175"/>
              </w:tabs>
              <w:spacing w:before="120" w:after="120" w:line="240" w:lineRule="atLeast"/>
              <w:rPr>
                <w:sz w:val="20"/>
                <w:lang w:val="fr-CH"/>
              </w:rPr>
            </w:pPr>
          </w:p>
        </w:tc>
      </w:tr>
      <w:tr w:rsidR="00257D25" w:rsidRPr="002A714E" w:rsidTr="003203A9">
        <w:trPr>
          <w:cantSplit/>
        </w:trPr>
        <w:tc>
          <w:tcPr>
            <w:tcW w:w="2410" w:type="dxa"/>
          </w:tcPr>
          <w:p w:rsidR="00257D25" w:rsidRDefault="00257D25" w:rsidP="00FB4BB7">
            <w:pPr>
              <w:tabs>
                <w:tab w:val="right" w:pos="14175"/>
              </w:tabs>
              <w:spacing w:before="100" w:after="100"/>
              <w:rPr>
                <w:b/>
                <w:sz w:val="20"/>
                <w:lang w:val="de-DE"/>
              </w:rPr>
            </w:pPr>
            <w:r w:rsidRPr="006E47B2">
              <w:rPr>
                <w:rFonts w:eastAsia="Arial" w:cs="Times New Roman"/>
                <w:b/>
                <w:sz w:val="20"/>
                <w:lang w:val="fr-CH"/>
              </w:rPr>
              <w:t>Standard pour l’indicateur 1</w:t>
            </w:r>
            <w:r>
              <w:rPr>
                <w:b/>
                <w:sz w:val="20"/>
                <w:lang w:val="de-DE"/>
              </w:rPr>
              <w:t>:</w:t>
            </w:r>
          </w:p>
        </w:tc>
        <w:tc>
          <w:tcPr>
            <w:tcW w:w="6805" w:type="dxa"/>
          </w:tcPr>
          <w:p w:rsidR="00257D25" w:rsidRPr="00257D25" w:rsidRDefault="00257D25" w:rsidP="00DD7987">
            <w:pPr>
              <w:tabs>
                <w:tab w:val="right" w:pos="14175"/>
              </w:tabs>
              <w:spacing w:before="120" w:after="120" w:line="240" w:lineRule="atLeast"/>
              <w:rPr>
                <w:sz w:val="20"/>
                <w:lang w:val="fr-CH"/>
              </w:rPr>
            </w:pPr>
          </w:p>
        </w:tc>
      </w:tr>
      <w:tr w:rsidR="00257D25" w:rsidRPr="002A714E" w:rsidTr="003203A9">
        <w:trPr>
          <w:cantSplit/>
        </w:trPr>
        <w:tc>
          <w:tcPr>
            <w:tcW w:w="2410" w:type="dxa"/>
          </w:tcPr>
          <w:p w:rsidR="00257D25" w:rsidRPr="009F6D23" w:rsidRDefault="00257D25" w:rsidP="00FB4BB7">
            <w:pPr>
              <w:tabs>
                <w:tab w:val="right" w:pos="14175"/>
              </w:tabs>
              <w:spacing w:before="100" w:after="100"/>
              <w:rPr>
                <w:b/>
                <w:sz w:val="20"/>
                <w:lang w:val="de-DE"/>
              </w:rPr>
            </w:pPr>
            <w:r w:rsidRPr="006E47B2">
              <w:rPr>
                <w:rFonts w:eastAsia="Arial" w:cs="Times New Roman"/>
                <w:b/>
                <w:sz w:val="20"/>
                <w:lang w:val="fr-CH"/>
              </w:rPr>
              <w:t>Méthodologie et instruments</w:t>
            </w:r>
          </w:p>
        </w:tc>
        <w:tc>
          <w:tcPr>
            <w:tcW w:w="6805" w:type="dxa"/>
          </w:tcPr>
          <w:p w:rsidR="00257D25" w:rsidRPr="006F721E" w:rsidRDefault="00257D25" w:rsidP="003203A9">
            <w:pPr>
              <w:tabs>
                <w:tab w:val="right" w:pos="14175"/>
              </w:tabs>
              <w:spacing w:before="120" w:after="120" w:line="240" w:lineRule="atLeast"/>
              <w:rPr>
                <w:b/>
                <w:sz w:val="20"/>
                <w:lang w:val="fr-CH"/>
              </w:rPr>
            </w:pPr>
          </w:p>
        </w:tc>
      </w:tr>
      <w:tr w:rsidR="00257D25" w:rsidRPr="003203A9" w:rsidTr="003203A9">
        <w:trPr>
          <w:cantSplit/>
        </w:trPr>
        <w:tc>
          <w:tcPr>
            <w:tcW w:w="2410" w:type="dxa"/>
            <w:shd w:val="clear" w:color="auto" w:fill="CCCCCC"/>
          </w:tcPr>
          <w:p w:rsidR="00257D25" w:rsidRDefault="00257D25" w:rsidP="00FB4BB7">
            <w:pPr>
              <w:tabs>
                <w:tab w:val="right" w:pos="14175"/>
              </w:tabs>
              <w:spacing w:before="100" w:after="100"/>
              <w:rPr>
                <w:b/>
                <w:sz w:val="20"/>
                <w:lang w:val="de-DE"/>
              </w:rPr>
            </w:pPr>
            <w:r w:rsidRPr="006E47B2">
              <w:rPr>
                <w:rFonts w:eastAsia="Arial" w:cs="Times New Roman"/>
                <w:b/>
                <w:sz w:val="20"/>
                <w:lang w:val="fr-CH"/>
              </w:rPr>
              <w:t>Objectif 2 de la prestation</w:t>
            </w:r>
            <w:r>
              <w:rPr>
                <w:b/>
                <w:sz w:val="20"/>
                <w:lang w:val="de-DE"/>
              </w:rPr>
              <w:t>:</w:t>
            </w:r>
          </w:p>
        </w:tc>
        <w:tc>
          <w:tcPr>
            <w:tcW w:w="6805" w:type="dxa"/>
            <w:shd w:val="clear" w:color="auto" w:fill="CCCCCC"/>
          </w:tcPr>
          <w:p w:rsidR="00257D25" w:rsidRPr="00C41105" w:rsidRDefault="00257D25" w:rsidP="00DD7987">
            <w:pPr>
              <w:pStyle w:val="berschrift2"/>
              <w:spacing w:after="120" w:line="240" w:lineRule="atLeast"/>
              <w:rPr>
                <w:b w:val="0"/>
                <w:sz w:val="20"/>
                <w:lang w:val="fr-CH"/>
              </w:rPr>
            </w:pPr>
            <w:r w:rsidRPr="00BC7C42">
              <w:rPr>
                <w:b w:val="0"/>
                <w:sz w:val="20"/>
                <w:lang w:val="fr-CH"/>
              </w:rPr>
              <w:t xml:space="preserve">L’enfant ou l’adolescent(e) est </w:t>
            </w:r>
            <w:r>
              <w:rPr>
                <w:b w:val="0"/>
                <w:sz w:val="20"/>
                <w:lang w:val="fr-CH"/>
              </w:rPr>
              <w:t>stable du point de vue psych</w:t>
            </w:r>
            <w:r w:rsidRPr="00BC7C42">
              <w:rPr>
                <w:b w:val="0"/>
                <w:sz w:val="20"/>
                <w:lang w:val="fr-CH"/>
              </w:rPr>
              <w:t>ique et progresse dans les comportements sociaux, la communication et les domaines de la vie quotidienne.</w:t>
            </w:r>
            <w:r w:rsidRPr="00C41105">
              <w:rPr>
                <w:b w:val="0"/>
                <w:sz w:val="20"/>
                <w:lang w:val="fr-CH"/>
              </w:rPr>
              <w:t xml:space="preserve"> </w:t>
            </w:r>
            <w:r w:rsidRPr="00802511">
              <w:rPr>
                <w:b w:val="0"/>
                <w:sz w:val="20"/>
                <w:lang w:val="fr-CH"/>
              </w:rPr>
              <w:t>I</w:t>
            </w:r>
            <w:r>
              <w:rPr>
                <w:b w:val="0"/>
                <w:sz w:val="20"/>
                <w:lang w:val="fr-CH"/>
              </w:rPr>
              <w:t xml:space="preserve">l ou elle est </w:t>
            </w:r>
            <w:r w:rsidRPr="00802511">
              <w:rPr>
                <w:b w:val="0"/>
                <w:sz w:val="20"/>
                <w:lang w:val="fr-CH"/>
              </w:rPr>
              <w:t>à même</w:t>
            </w:r>
            <w:r>
              <w:rPr>
                <w:b w:val="0"/>
                <w:sz w:val="20"/>
                <w:lang w:val="fr-CH"/>
              </w:rPr>
              <w:t>, dans la mesure de ses possibilités,</w:t>
            </w:r>
            <w:r w:rsidRPr="00802511">
              <w:rPr>
                <w:b w:val="0"/>
                <w:sz w:val="20"/>
                <w:lang w:val="fr-CH"/>
              </w:rPr>
              <w:t xml:space="preserve"> de mener une réflexion sur </w:t>
            </w:r>
            <w:r>
              <w:rPr>
                <w:b w:val="0"/>
                <w:sz w:val="20"/>
                <w:lang w:val="fr-CH"/>
              </w:rPr>
              <w:t>sa</w:t>
            </w:r>
            <w:r w:rsidRPr="00802511">
              <w:rPr>
                <w:b w:val="0"/>
                <w:sz w:val="20"/>
                <w:lang w:val="fr-CH"/>
              </w:rPr>
              <w:t xml:space="preserve"> situ</w:t>
            </w:r>
            <w:r>
              <w:rPr>
                <w:b w:val="0"/>
                <w:sz w:val="20"/>
                <w:lang w:val="fr-CH"/>
              </w:rPr>
              <w:t>ation personnelle et familiale.</w:t>
            </w:r>
          </w:p>
        </w:tc>
      </w:tr>
      <w:tr w:rsidR="00257D25" w:rsidTr="003203A9">
        <w:trPr>
          <w:cantSplit/>
        </w:trPr>
        <w:tc>
          <w:tcPr>
            <w:tcW w:w="2410" w:type="dxa"/>
          </w:tcPr>
          <w:p w:rsidR="00257D25" w:rsidRDefault="00257D25" w:rsidP="00FB4BB7">
            <w:pPr>
              <w:tabs>
                <w:tab w:val="right" w:pos="14175"/>
              </w:tabs>
              <w:spacing w:before="100" w:after="100"/>
              <w:rPr>
                <w:b/>
                <w:sz w:val="20"/>
                <w:lang w:val="de-DE"/>
              </w:rPr>
            </w:pPr>
            <w:r w:rsidRPr="006E47B2">
              <w:rPr>
                <w:rFonts w:eastAsia="Arial" w:cs="Times New Roman"/>
                <w:b/>
                <w:sz w:val="20"/>
                <w:lang w:val="fr-CH"/>
              </w:rPr>
              <w:t>Indicateur 1 pour l’objectif 2</w:t>
            </w:r>
            <w:r>
              <w:rPr>
                <w:b/>
                <w:sz w:val="20"/>
                <w:lang w:val="de-DE"/>
              </w:rPr>
              <w:t>:</w:t>
            </w:r>
          </w:p>
        </w:tc>
        <w:tc>
          <w:tcPr>
            <w:tcW w:w="6805" w:type="dxa"/>
          </w:tcPr>
          <w:p w:rsidR="00257D25" w:rsidRPr="00257D25" w:rsidRDefault="00257D25" w:rsidP="00DD7987">
            <w:pPr>
              <w:tabs>
                <w:tab w:val="right" w:pos="14175"/>
              </w:tabs>
              <w:spacing w:before="120" w:after="120" w:line="240" w:lineRule="atLeast"/>
              <w:rPr>
                <w:sz w:val="20"/>
                <w:lang w:val="fr-CH"/>
              </w:rPr>
            </w:pPr>
          </w:p>
        </w:tc>
      </w:tr>
      <w:tr w:rsidR="00257D25" w:rsidRPr="003203A9" w:rsidTr="003203A9">
        <w:trPr>
          <w:cantSplit/>
        </w:trPr>
        <w:tc>
          <w:tcPr>
            <w:tcW w:w="2410" w:type="dxa"/>
          </w:tcPr>
          <w:p w:rsidR="00257D25" w:rsidRDefault="00257D25" w:rsidP="00FB4BB7">
            <w:pPr>
              <w:tabs>
                <w:tab w:val="right" w:pos="14175"/>
              </w:tabs>
              <w:spacing w:before="100" w:after="100"/>
              <w:rPr>
                <w:b/>
                <w:sz w:val="20"/>
                <w:lang w:val="de-DE"/>
              </w:rPr>
            </w:pPr>
            <w:r w:rsidRPr="006E47B2">
              <w:rPr>
                <w:rFonts w:eastAsia="Arial" w:cs="Times New Roman"/>
                <w:b/>
                <w:sz w:val="20"/>
                <w:lang w:val="fr-CH"/>
              </w:rPr>
              <w:t>Standard pour l’indicateur 1</w:t>
            </w:r>
            <w:r>
              <w:rPr>
                <w:b/>
                <w:sz w:val="20"/>
                <w:lang w:val="de-DE"/>
              </w:rPr>
              <w:t>:</w:t>
            </w:r>
          </w:p>
        </w:tc>
        <w:tc>
          <w:tcPr>
            <w:tcW w:w="6805" w:type="dxa"/>
          </w:tcPr>
          <w:p w:rsidR="00257D25" w:rsidRPr="00257D25" w:rsidRDefault="00257D25" w:rsidP="003203A9">
            <w:pPr>
              <w:tabs>
                <w:tab w:val="right" w:pos="14175"/>
              </w:tabs>
              <w:spacing w:before="120" w:after="120" w:line="240" w:lineRule="atLeast"/>
              <w:rPr>
                <w:sz w:val="20"/>
                <w:lang w:val="fr-CH"/>
              </w:rPr>
            </w:pPr>
          </w:p>
        </w:tc>
      </w:tr>
      <w:tr w:rsidR="00257D25" w:rsidRPr="003203A9" w:rsidTr="003203A9">
        <w:trPr>
          <w:cantSplit/>
        </w:trPr>
        <w:tc>
          <w:tcPr>
            <w:tcW w:w="2410" w:type="dxa"/>
          </w:tcPr>
          <w:p w:rsidR="00257D25" w:rsidRPr="009F6D23" w:rsidRDefault="00257D25" w:rsidP="00FB4BB7">
            <w:pPr>
              <w:tabs>
                <w:tab w:val="right" w:pos="14175"/>
              </w:tabs>
              <w:spacing w:before="100" w:after="100"/>
              <w:rPr>
                <w:b/>
                <w:sz w:val="20"/>
                <w:lang w:val="de-DE"/>
              </w:rPr>
            </w:pPr>
            <w:r w:rsidRPr="006E47B2">
              <w:rPr>
                <w:rFonts w:eastAsia="Arial" w:cs="Times New Roman"/>
                <w:b/>
                <w:sz w:val="20"/>
                <w:lang w:val="fr-CH"/>
              </w:rPr>
              <w:t>Méthodologie et instruments</w:t>
            </w:r>
          </w:p>
        </w:tc>
        <w:tc>
          <w:tcPr>
            <w:tcW w:w="6805" w:type="dxa"/>
          </w:tcPr>
          <w:p w:rsidR="00257D25" w:rsidRPr="00257D25" w:rsidRDefault="00257D25" w:rsidP="00DD7987">
            <w:pPr>
              <w:tabs>
                <w:tab w:val="right" w:pos="14175"/>
              </w:tabs>
              <w:spacing w:before="120" w:after="120" w:line="240" w:lineRule="atLeast"/>
              <w:rPr>
                <w:sz w:val="20"/>
                <w:lang w:val="fr-CH"/>
              </w:rPr>
            </w:pPr>
          </w:p>
        </w:tc>
      </w:tr>
      <w:tr w:rsidR="00257D25" w:rsidRPr="003203A9" w:rsidTr="003203A9">
        <w:trPr>
          <w:cantSplit/>
        </w:trPr>
        <w:tc>
          <w:tcPr>
            <w:tcW w:w="2410" w:type="dxa"/>
            <w:shd w:val="clear" w:color="auto" w:fill="CCCCCC"/>
          </w:tcPr>
          <w:p w:rsidR="00257D25" w:rsidRPr="009B7033"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Objectif 3 de la prestation</w:t>
            </w:r>
            <w:r w:rsidRPr="009B7033">
              <w:rPr>
                <w:b/>
                <w:sz w:val="20"/>
                <w:lang w:val="de-DE"/>
              </w:rPr>
              <w:t>:</w:t>
            </w:r>
          </w:p>
        </w:tc>
        <w:tc>
          <w:tcPr>
            <w:tcW w:w="6805" w:type="dxa"/>
            <w:shd w:val="clear" w:color="auto" w:fill="CCCCCC"/>
          </w:tcPr>
          <w:p w:rsidR="00257D25" w:rsidRPr="00FA5CEB" w:rsidRDefault="00257D25" w:rsidP="00DD7987">
            <w:pPr>
              <w:tabs>
                <w:tab w:val="right" w:pos="14175"/>
              </w:tabs>
              <w:spacing w:before="120" w:after="120" w:line="240" w:lineRule="atLeast"/>
              <w:rPr>
                <w:sz w:val="20"/>
                <w:lang w:val="fr-CH"/>
              </w:rPr>
            </w:pPr>
            <w:r w:rsidRPr="00547EED">
              <w:rPr>
                <w:sz w:val="20"/>
                <w:lang w:val="fr-CH"/>
              </w:rPr>
              <w:t>L’enfant ou l’adolescent(e) est accompagné(e) et soutenu(e) dans son évolution scolaire.</w:t>
            </w:r>
            <w:r>
              <w:rPr>
                <w:sz w:val="20"/>
                <w:lang w:val="fr-CH"/>
              </w:rPr>
              <w:t xml:space="preserve"> Les plans d’encouragement socio-pédagogique et scolaire ainsi que les mesures thérapeutiques complémentaires ont fait l’objet d’accords et sont harmonisés entre eux. Le soutien dans le cadre d’une formation éventuelle est garanti.</w:t>
            </w:r>
          </w:p>
        </w:tc>
      </w:tr>
      <w:tr w:rsidR="00257D25" w:rsidRPr="003203A9" w:rsidTr="003203A9">
        <w:trPr>
          <w:cantSplit/>
        </w:trPr>
        <w:tc>
          <w:tcPr>
            <w:tcW w:w="2410" w:type="dxa"/>
          </w:tcPr>
          <w:p w:rsidR="00257D25" w:rsidRPr="009B7033"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Indicateur 1 pour l’objectif 3</w:t>
            </w:r>
            <w:r w:rsidRPr="009B7033">
              <w:rPr>
                <w:b/>
                <w:sz w:val="20"/>
                <w:lang w:val="de-DE"/>
              </w:rPr>
              <w:t>:</w:t>
            </w:r>
          </w:p>
        </w:tc>
        <w:tc>
          <w:tcPr>
            <w:tcW w:w="6805" w:type="dxa"/>
          </w:tcPr>
          <w:p w:rsidR="00257D25" w:rsidRPr="005A02AE" w:rsidRDefault="00257D25" w:rsidP="00DD7987">
            <w:pPr>
              <w:tabs>
                <w:tab w:val="right" w:pos="14175"/>
              </w:tabs>
              <w:spacing w:before="120" w:after="120" w:line="240" w:lineRule="atLeast"/>
              <w:rPr>
                <w:sz w:val="20"/>
                <w:lang w:val="fr-CH"/>
              </w:rPr>
            </w:pPr>
          </w:p>
        </w:tc>
      </w:tr>
      <w:tr w:rsidR="00257D25" w:rsidRPr="009B7033" w:rsidTr="003203A9">
        <w:trPr>
          <w:cantSplit/>
        </w:trPr>
        <w:tc>
          <w:tcPr>
            <w:tcW w:w="2410" w:type="dxa"/>
          </w:tcPr>
          <w:p w:rsidR="00257D25" w:rsidRPr="009B7033" w:rsidRDefault="00257D25" w:rsidP="00FB4BB7">
            <w:pPr>
              <w:tabs>
                <w:tab w:val="right" w:pos="14175"/>
              </w:tabs>
              <w:spacing w:before="120" w:after="120" w:line="240" w:lineRule="atLeast"/>
              <w:rPr>
                <w:b/>
                <w:sz w:val="20"/>
                <w:lang w:val="de-DE"/>
              </w:rPr>
            </w:pPr>
            <w:r w:rsidRPr="00A82A28">
              <w:rPr>
                <w:rFonts w:eastAsia="Arial" w:cs="Times New Roman"/>
                <w:b/>
                <w:sz w:val="20"/>
                <w:lang w:val="fr-CH"/>
              </w:rPr>
              <w:t>Standard pour l’indicateur 1</w:t>
            </w:r>
            <w:r w:rsidRPr="009B7033">
              <w:rPr>
                <w:b/>
                <w:sz w:val="20"/>
                <w:lang w:val="de-DE"/>
              </w:rPr>
              <w:t>:</w:t>
            </w:r>
          </w:p>
        </w:tc>
        <w:tc>
          <w:tcPr>
            <w:tcW w:w="6805" w:type="dxa"/>
          </w:tcPr>
          <w:p w:rsidR="00257D25" w:rsidRPr="00257D25" w:rsidRDefault="00257D25" w:rsidP="00FB4BB7">
            <w:pPr>
              <w:tabs>
                <w:tab w:val="right" w:pos="14175"/>
              </w:tabs>
              <w:spacing w:before="120" w:after="120" w:line="240" w:lineRule="atLeast"/>
              <w:jc w:val="both"/>
              <w:rPr>
                <w:sz w:val="20"/>
                <w:lang w:val="fr-CH"/>
              </w:rPr>
            </w:pPr>
          </w:p>
        </w:tc>
      </w:tr>
      <w:tr w:rsidR="00257D25" w:rsidRPr="003203A9" w:rsidTr="003203A9">
        <w:trPr>
          <w:cantSplit/>
        </w:trPr>
        <w:tc>
          <w:tcPr>
            <w:tcW w:w="2410" w:type="dxa"/>
          </w:tcPr>
          <w:p w:rsidR="00257D25" w:rsidRPr="00A82A28" w:rsidRDefault="00257D25" w:rsidP="00FB4BB7">
            <w:pPr>
              <w:tabs>
                <w:tab w:val="right" w:pos="14175"/>
              </w:tabs>
              <w:spacing w:before="120" w:after="120" w:line="240" w:lineRule="atLeast"/>
              <w:rPr>
                <w:b/>
                <w:sz w:val="20"/>
                <w:lang w:val="fr-CH"/>
              </w:rPr>
            </w:pPr>
            <w:r w:rsidRPr="00A82A28">
              <w:rPr>
                <w:rFonts w:eastAsia="Arial" w:cs="Times New Roman"/>
                <w:b/>
                <w:sz w:val="20"/>
                <w:lang w:val="fr-CH"/>
              </w:rPr>
              <w:t>Méthodologie et instruments</w:t>
            </w:r>
          </w:p>
        </w:tc>
        <w:tc>
          <w:tcPr>
            <w:tcW w:w="6805" w:type="dxa"/>
          </w:tcPr>
          <w:p w:rsidR="00257D25" w:rsidRPr="00257D25" w:rsidRDefault="00257D25" w:rsidP="00DD7987">
            <w:pPr>
              <w:tabs>
                <w:tab w:val="right" w:pos="14175"/>
              </w:tabs>
              <w:spacing w:before="120" w:after="120" w:line="240" w:lineRule="atLeast"/>
              <w:rPr>
                <w:sz w:val="20"/>
                <w:lang w:val="fr-CH"/>
              </w:rPr>
            </w:pPr>
          </w:p>
        </w:tc>
      </w:tr>
      <w:tr w:rsidR="00257D25" w:rsidRPr="003203A9" w:rsidTr="003203A9">
        <w:trPr>
          <w:cantSplit/>
        </w:trPr>
        <w:tc>
          <w:tcPr>
            <w:tcW w:w="2410" w:type="dxa"/>
            <w:shd w:val="clear" w:color="auto" w:fill="CCCCCC"/>
          </w:tcPr>
          <w:p w:rsidR="00257D25" w:rsidRPr="009B7033"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Objectif 4 de la prestation</w:t>
            </w:r>
            <w:r w:rsidRPr="009B7033">
              <w:rPr>
                <w:b/>
                <w:sz w:val="20"/>
                <w:lang w:val="de-DE"/>
              </w:rPr>
              <w:t>:</w:t>
            </w:r>
          </w:p>
        </w:tc>
        <w:tc>
          <w:tcPr>
            <w:tcW w:w="6800" w:type="dxa"/>
            <w:shd w:val="clear" w:color="auto" w:fill="CCCCCC"/>
          </w:tcPr>
          <w:p w:rsidR="00257D25" w:rsidRPr="00453526" w:rsidRDefault="00257D25" w:rsidP="00DD7987">
            <w:pPr>
              <w:tabs>
                <w:tab w:val="right" w:pos="14175"/>
              </w:tabs>
              <w:spacing w:before="120" w:after="120" w:line="240" w:lineRule="atLeast"/>
              <w:rPr>
                <w:sz w:val="20"/>
                <w:lang w:val="fr-CH"/>
              </w:rPr>
            </w:pPr>
            <w:r w:rsidRPr="00780C50">
              <w:rPr>
                <w:sz w:val="20"/>
                <w:lang w:val="fr-CH"/>
              </w:rPr>
              <w:t>Dans les situations de crise, un suivi et un hébergement individualisés et de qualité</w:t>
            </w:r>
            <w:r>
              <w:rPr>
                <w:sz w:val="20"/>
                <w:lang w:val="fr-CH"/>
              </w:rPr>
              <w:t xml:space="preserve"> sont garantis </w:t>
            </w:r>
            <w:r w:rsidRPr="00780C50">
              <w:rPr>
                <w:sz w:val="20"/>
                <w:lang w:val="fr-CH"/>
              </w:rPr>
              <w:t>sept jours sur sept et 24 heures sur 24</w:t>
            </w:r>
            <w:r>
              <w:rPr>
                <w:sz w:val="20"/>
                <w:lang w:val="fr-CH"/>
              </w:rPr>
              <w:t>.</w:t>
            </w:r>
          </w:p>
        </w:tc>
      </w:tr>
      <w:tr w:rsidR="00257D25" w:rsidRPr="003203A9" w:rsidTr="003203A9">
        <w:trPr>
          <w:cantSplit/>
        </w:trPr>
        <w:tc>
          <w:tcPr>
            <w:tcW w:w="2410" w:type="dxa"/>
          </w:tcPr>
          <w:p w:rsidR="00257D25" w:rsidRPr="009B7033" w:rsidRDefault="00257D25" w:rsidP="00FB4BB7">
            <w:pPr>
              <w:tabs>
                <w:tab w:val="right" w:pos="14175"/>
              </w:tabs>
              <w:spacing w:before="120" w:after="120" w:line="240" w:lineRule="atLeast"/>
              <w:rPr>
                <w:b/>
                <w:sz w:val="20"/>
                <w:lang w:val="de-DE"/>
              </w:rPr>
            </w:pPr>
            <w:r>
              <w:rPr>
                <w:rFonts w:eastAsia="Arial" w:cs="Times New Roman"/>
                <w:b/>
                <w:sz w:val="20"/>
                <w:lang w:val="fr-CH"/>
              </w:rPr>
              <w:t>Indicateur 1 pour l’objectif 4</w:t>
            </w:r>
            <w:r w:rsidRPr="009B7033">
              <w:rPr>
                <w:b/>
                <w:sz w:val="20"/>
                <w:lang w:val="de-DE"/>
              </w:rPr>
              <w:t>:</w:t>
            </w:r>
          </w:p>
        </w:tc>
        <w:tc>
          <w:tcPr>
            <w:tcW w:w="6800" w:type="dxa"/>
          </w:tcPr>
          <w:p w:rsidR="00257D25" w:rsidRPr="00453526" w:rsidRDefault="00257D25" w:rsidP="00DD7987">
            <w:pPr>
              <w:tabs>
                <w:tab w:val="right" w:pos="14175"/>
              </w:tabs>
              <w:spacing w:before="120" w:after="120" w:line="240" w:lineRule="atLeast"/>
              <w:rPr>
                <w:sz w:val="20"/>
                <w:lang w:val="fr-CH"/>
              </w:rPr>
            </w:pPr>
          </w:p>
        </w:tc>
      </w:tr>
      <w:tr w:rsidR="00257D25" w:rsidRPr="003203A9" w:rsidTr="003203A9">
        <w:trPr>
          <w:cantSplit/>
        </w:trPr>
        <w:tc>
          <w:tcPr>
            <w:tcW w:w="2410" w:type="dxa"/>
          </w:tcPr>
          <w:p w:rsidR="00257D25" w:rsidRPr="009B7033"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Standard pour l’indicateur 1</w:t>
            </w:r>
            <w:r w:rsidRPr="009B7033">
              <w:rPr>
                <w:b/>
                <w:sz w:val="20"/>
                <w:lang w:val="de-DE"/>
              </w:rPr>
              <w:t>:</w:t>
            </w:r>
          </w:p>
        </w:tc>
        <w:tc>
          <w:tcPr>
            <w:tcW w:w="6800" w:type="dxa"/>
          </w:tcPr>
          <w:p w:rsidR="00257D25" w:rsidRPr="00453526" w:rsidRDefault="00257D25" w:rsidP="00DD7987">
            <w:pPr>
              <w:tabs>
                <w:tab w:val="right" w:pos="14175"/>
              </w:tabs>
              <w:spacing w:before="120" w:after="120" w:line="240" w:lineRule="atLeast"/>
              <w:rPr>
                <w:sz w:val="20"/>
                <w:lang w:val="fr-CH"/>
              </w:rPr>
            </w:pPr>
          </w:p>
        </w:tc>
      </w:tr>
      <w:tr w:rsidR="00257D25" w:rsidRPr="003203A9" w:rsidTr="003203A9">
        <w:trPr>
          <w:cantSplit/>
        </w:trPr>
        <w:tc>
          <w:tcPr>
            <w:tcW w:w="2410" w:type="dxa"/>
          </w:tcPr>
          <w:p w:rsidR="00257D25" w:rsidRPr="009B7033"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lastRenderedPageBreak/>
              <w:t>Méthodologie et instruments</w:t>
            </w:r>
          </w:p>
        </w:tc>
        <w:tc>
          <w:tcPr>
            <w:tcW w:w="6800" w:type="dxa"/>
          </w:tcPr>
          <w:p w:rsidR="00257D25" w:rsidRPr="00257D25" w:rsidRDefault="00257D25" w:rsidP="00DD7987">
            <w:pPr>
              <w:tabs>
                <w:tab w:val="right" w:pos="14175"/>
              </w:tabs>
              <w:spacing w:before="120" w:after="120" w:line="240" w:lineRule="atLeast"/>
              <w:rPr>
                <w:sz w:val="20"/>
                <w:lang w:val="fr-CH"/>
              </w:rPr>
            </w:pPr>
          </w:p>
        </w:tc>
      </w:tr>
    </w:tbl>
    <w:p w:rsidR="00257D25" w:rsidRPr="00453526" w:rsidRDefault="00257D25" w:rsidP="00257D25">
      <w:pPr>
        <w:rPr>
          <w:lang w:val="fr-CH"/>
        </w:rPr>
      </w:pPr>
    </w:p>
    <w:tbl>
      <w:tblPr>
        <w:tblW w:w="0" w:type="auto"/>
        <w:tblLayout w:type="fixed"/>
        <w:tblCellMar>
          <w:left w:w="70" w:type="dxa"/>
          <w:right w:w="70" w:type="dxa"/>
        </w:tblCellMar>
        <w:tblLook w:val="0000" w:firstRow="0" w:lastRow="0" w:firstColumn="0" w:lastColumn="0" w:noHBand="0" w:noVBand="0"/>
      </w:tblPr>
      <w:tblGrid>
        <w:gridCol w:w="2410"/>
        <w:gridCol w:w="6800"/>
      </w:tblGrid>
      <w:tr w:rsidR="00257D25" w:rsidRPr="003203A9" w:rsidTr="00FB4BB7">
        <w:trPr>
          <w:cantSplit/>
        </w:trPr>
        <w:tc>
          <w:tcPr>
            <w:tcW w:w="2410" w:type="dxa"/>
            <w:shd w:val="clear" w:color="auto" w:fill="CCCCCC"/>
          </w:tcPr>
          <w:p w:rsidR="00257D25" w:rsidRDefault="00257D25" w:rsidP="00FB4BB7">
            <w:pPr>
              <w:tabs>
                <w:tab w:val="right" w:pos="14175"/>
              </w:tabs>
              <w:spacing w:before="200" w:after="120" w:line="240" w:lineRule="atLeast"/>
              <w:rPr>
                <w:b/>
                <w:sz w:val="20"/>
                <w:lang w:val="de-DE"/>
              </w:rPr>
            </w:pPr>
            <w:r w:rsidRPr="006E47B2">
              <w:rPr>
                <w:rFonts w:eastAsia="Arial" w:cs="Times New Roman"/>
                <w:b/>
                <w:sz w:val="20"/>
                <w:lang w:val="fr-CH"/>
              </w:rPr>
              <w:t>Objectif 5 de la prestation</w:t>
            </w:r>
            <w:r>
              <w:rPr>
                <w:b/>
                <w:sz w:val="20"/>
                <w:lang w:val="de-DE"/>
              </w:rPr>
              <w:t>:</w:t>
            </w:r>
          </w:p>
        </w:tc>
        <w:tc>
          <w:tcPr>
            <w:tcW w:w="6800" w:type="dxa"/>
            <w:shd w:val="clear" w:color="auto" w:fill="CCCCCC"/>
          </w:tcPr>
          <w:p w:rsidR="00257D25" w:rsidRPr="007B6EA1" w:rsidRDefault="00257D25" w:rsidP="00DD7987">
            <w:pPr>
              <w:tabs>
                <w:tab w:val="right" w:pos="14175"/>
              </w:tabs>
              <w:spacing w:before="120" w:after="120" w:line="240" w:lineRule="atLeast"/>
              <w:rPr>
                <w:sz w:val="20"/>
                <w:lang w:val="fr-CH"/>
              </w:rPr>
            </w:pPr>
            <w:r w:rsidRPr="0006547A">
              <w:rPr>
                <w:sz w:val="20"/>
                <w:lang w:val="fr-CH"/>
              </w:rPr>
              <w:t>L’enfant ou l’adolescent(e) est soutenu</w:t>
            </w:r>
            <w:r>
              <w:rPr>
                <w:sz w:val="20"/>
                <w:lang w:val="fr-CH"/>
              </w:rPr>
              <w:t>(e)</w:t>
            </w:r>
            <w:r w:rsidRPr="0006547A">
              <w:rPr>
                <w:sz w:val="20"/>
                <w:lang w:val="fr-CH"/>
              </w:rPr>
              <w:t xml:space="preserve"> dans la construction de ses relations avec son environnement social et/ou sa famille d’origine. Cette dernière est impliquée de manière adéquate dans le processus et bénéficie d’un soutien.</w:t>
            </w:r>
          </w:p>
        </w:tc>
      </w:tr>
      <w:tr w:rsidR="00257D25" w:rsidRPr="003203A9" w:rsidTr="00FB4BB7">
        <w:trPr>
          <w:cantSplit/>
        </w:trPr>
        <w:tc>
          <w:tcPr>
            <w:tcW w:w="2410" w:type="dxa"/>
          </w:tcPr>
          <w:p w:rsidR="00257D25" w:rsidRDefault="00257D25" w:rsidP="00FB4BB7">
            <w:pPr>
              <w:tabs>
                <w:tab w:val="right" w:pos="14175"/>
              </w:tabs>
              <w:spacing w:before="120" w:after="120" w:line="240" w:lineRule="atLeast"/>
              <w:rPr>
                <w:b/>
                <w:sz w:val="20"/>
                <w:lang w:val="de-DE"/>
              </w:rPr>
            </w:pPr>
            <w:r w:rsidRPr="000F1F25">
              <w:rPr>
                <w:rFonts w:eastAsia="Arial" w:cs="Times New Roman"/>
                <w:b/>
                <w:sz w:val="20"/>
                <w:lang w:val="fr-CH"/>
              </w:rPr>
              <w:t>Indicateur 1 pour l’objectif 5</w:t>
            </w:r>
            <w:r>
              <w:rPr>
                <w:b/>
                <w:sz w:val="20"/>
                <w:lang w:val="de-DE"/>
              </w:rPr>
              <w:t>:</w:t>
            </w:r>
          </w:p>
        </w:tc>
        <w:tc>
          <w:tcPr>
            <w:tcW w:w="6800" w:type="dxa"/>
          </w:tcPr>
          <w:p w:rsidR="00257D25" w:rsidRPr="00257D25" w:rsidRDefault="00257D25" w:rsidP="00DD7987">
            <w:pPr>
              <w:tabs>
                <w:tab w:val="right" w:pos="14175"/>
              </w:tabs>
              <w:spacing w:before="120" w:after="120" w:line="240" w:lineRule="atLeast"/>
              <w:rPr>
                <w:sz w:val="20"/>
                <w:lang w:val="fr-CH"/>
              </w:rPr>
            </w:pPr>
          </w:p>
        </w:tc>
      </w:tr>
      <w:tr w:rsidR="00257D25" w:rsidRPr="002F28D3" w:rsidTr="00FB4BB7">
        <w:trPr>
          <w:cantSplit/>
        </w:trPr>
        <w:tc>
          <w:tcPr>
            <w:tcW w:w="2410" w:type="dxa"/>
          </w:tcPr>
          <w:p w:rsidR="00257D25"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Standard pour l’indicateur 1</w:t>
            </w:r>
            <w:r>
              <w:rPr>
                <w:b/>
                <w:sz w:val="20"/>
                <w:lang w:val="de-DE"/>
              </w:rPr>
              <w:t>:</w:t>
            </w:r>
          </w:p>
        </w:tc>
        <w:tc>
          <w:tcPr>
            <w:tcW w:w="6800" w:type="dxa"/>
          </w:tcPr>
          <w:p w:rsidR="00257D25" w:rsidRPr="00257D25" w:rsidRDefault="00257D25" w:rsidP="00257D25">
            <w:pPr>
              <w:tabs>
                <w:tab w:val="right" w:pos="14175"/>
              </w:tabs>
              <w:spacing w:before="120" w:after="120" w:line="240" w:lineRule="atLeast"/>
              <w:jc w:val="both"/>
              <w:rPr>
                <w:sz w:val="20"/>
                <w:lang w:val="fr-CH"/>
              </w:rPr>
            </w:pPr>
          </w:p>
        </w:tc>
      </w:tr>
      <w:tr w:rsidR="00257D25" w:rsidRPr="003203A9" w:rsidTr="00FB4BB7">
        <w:trPr>
          <w:cantSplit/>
        </w:trPr>
        <w:tc>
          <w:tcPr>
            <w:tcW w:w="2410" w:type="dxa"/>
          </w:tcPr>
          <w:p w:rsidR="00257D25" w:rsidRPr="00BE6903" w:rsidRDefault="00257D25" w:rsidP="00FB4BB7">
            <w:pPr>
              <w:tabs>
                <w:tab w:val="right" w:pos="14175"/>
              </w:tabs>
              <w:spacing w:before="120" w:after="120" w:line="240" w:lineRule="atLeast"/>
              <w:rPr>
                <w:b/>
                <w:sz w:val="20"/>
                <w:lang w:val="de-DE"/>
              </w:rPr>
            </w:pPr>
            <w:r>
              <w:rPr>
                <w:rFonts w:eastAsia="Arial" w:cs="Times New Roman"/>
                <w:b/>
                <w:sz w:val="20"/>
                <w:lang w:val="fr-CH"/>
              </w:rPr>
              <w:t>Indicateur 2</w:t>
            </w:r>
            <w:r w:rsidRPr="006E47B2">
              <w:rPr>
                <w:rFonts w:eastAsia="Arial" w:cs="Times New Roman"/>
                <w:b/>
                <w:sz w:val="20"/>
                <w:lang w:val="fr-CH"/>
              </w:rPr>
              <w:t xml:space="preserve"> pour l’objectif 5</w:t>
            </w:r>
            <w:r w:rsidRPr="00BE6903">
              <w:rPr>
                <w:b/>
                <w:sz w:val="20"/>
                <w:lang w:val="de-DE"/>
              </w:rPr>
              <w:t>:</w:t>
            </w:r>
          </w:p>
        </w:tc>
        <w:tc>
          <w:tcPr>
            <w:tcW w:w="6800" w:type="dxa"/>
          </w:tcPr>
          <w:p w:rsidR="00257D25" w:rsidRPr="00257D25" w:rsidRDefault="00257D25" w:rsidP="00DD7987">
            <w:pPr>
              <w:tabs>
                <w:tab w:val="right" w:pos="14175"/>
              </w:tabs>
              <w:spacing w:before="120" w:after="120" w:line="240" w:lineRule="atLeast"/>
              <w:rPr>
                <w:sz w:val="20"/>
                <w:lang w:val="fr-CH"/>
              </w:rPr>
            </w:pPr>
          </w:p>
        </w:tc>
      </w:tr>
      <w:tr w:rsidR="00257D25" w:rsidRPr="003203A9" w:rsidTr="00FB4BB7">
        <w:trPr>
          <w:cantSplit/>
        </w:trPr>
        <w:tc>
          <w:tcPr>
            <w:tcW w:w="2410" w:type="dxa"/>
          </w:tcPr>
          <w:p w:rsidR="00257D25" w:rsidRPr="00BE6903"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 xml:space="preserve">Standard </w:t>
            </w:r>
            <w:r>
              <w:rPr>
                <w:rFonts w:eastAsia="Arial" w:cs="Times New Roman"/>
                <w:b/>
                <w:sz w:val="20"/>
                <w:lang w:val="fr-CH"/>
              </w:rPr>
              <w:t>1 pour l’indicateur 2</w:t>
            </w:r>
            <w:r w:rsidRPr="00BE6903">
              <w:rPr>
                <w:b/>
                <w:sz w:val="20"/>
                <w:lang w:val="de-DE"/>
              </w:rPr>
              <w:t>:</w:t>
            </w:r>
          </w:p>
        </w:tc>
        <w:tc>
          <w:tcPr>
            <w:tcW w:w="6800" w:type="dxa"/>
          </w:tcPr>
          <w:p w:rsidR="00257D25" w:rsidRPr="00257D25" w:rsidRDefault="00257D25" w:rsidP="00DD7987">
            <w:pPr>
              <w:tabs>
                <w:tab w:val="right" w:pos="14175"/>
              </w:tabs>
              <w:spacing w:before="120" w:after="120" w:line="240" w:lineRule="atLeast"/>
              <w:rPr>
                <w:sz w:val="20"/>
                <w:lang w:val="fr-CH"/>
              </w:rPr>
            </w:pPr>
          </w:p>
        </w:tc>
      </w:tr>
      <w:tr w:rsidR="00257D25" w:rsidRPr="003203A9" w:rsidTr="00FB4BB7">
        <w:trPr>
          <w:cantSplit/>
        </w:trPr>
        <w:tc>
          <w:tcPr>
            <w:tcW w:w="2410" w:type="dxa"/>
          </w:tcPr>
          <w:p w:rsidR="00257D25" w:rsidRPr="00BE6903"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 xml:space="preserve">Standard </w:t>
            </w:r>
            <w:r>
              <w:rPr>
                <w:rFonts w:eastAsia="Arial" w:cs="Times New Roman"/>
                <w:b/>
                <w:sz w:val="20"/>
                <w:lang w:val="fr-CH"/>
              </w:rPr>
              <w:t>2 pour l’indicateur 2</w:t>
            </w:r>
          </w:p>
        </w:tc>
        <w:tc>
          <w:tcPr>
            <w:tcW w:w="6800" w:type="dxa"/>
          </w:tcPr>
          <w:p w:rsidR="00257D25" w:rsidRPr="00257D25" w:rsidRDefault="00257D25" w:rsidP="00DD7987">
            <w:pPr>
              <w:tabs>
                <w:tab w:val="right" w:pos="14175"/>
              </w:tabs>
              <w:spacing w:before="120" w:after="120" w:line="240" w:lineRule="atLeast"/>
              <w:rPr>
                <w:sz w:val="20"/>
                <w:lang w:val="fr-CH"/>
              </w:rPr>
            </w:pPr>
          </w:p>
        </w:tc>
      </w:tr>
      <w:tr w:rsidR="00257D25" w:rsidRPr="003203A9" w:rsidTr="00FB4BB7">
        <w:trPr>
          <w:cantSplit/>
        </w:trPr>
        <w:tc>
          <w:tcPr>
            <w:tcW w:w="2410" w:type="dxa"/>
          </w:tcPr>
          <w:p w:rsidR="00257D25" w:rsidRPr="00BE6903" w:rsidRDefault="00257D25" w:rsidP="00FB4BB7">
            <w:pPr>
              <w:tabs>
                <w:tab w:val="right" w:pos="14175"/>
              </w:tabs>
              <w:spacing w:before="120" w:after="120" w:line="240" w:lineRule="atLeast"/>
              <w:rPr>
                <w:b/>
                <w:sz w:val="20"/>
                <w:lang w:val="de-DE"/>
              </w:rPr>
            </w:pPr>
            <w:r>
              <w:rPr>
                <w:rFonts w:eastAsia="Arial" w:cs="Times New Roman"/>
                <w:b/>
                <w:sz w:val="20"/>
                <w:lang w:val="fr-CH"/>
              </w:rPr>
              <w:t>Indicateur 3</w:t>
            </w:r>
            <w:r w:rsidRPr="006E47B2">
              <w:rPr>
                <w:rFonts w:eastAsia="Arial" w:cs="Times New Roman"/>
                <w:b/>
                <w:sz w:val="20"/>
                <w:lang w:val="fr-CH"/>
              </w:rPr>
              <w:t xml:space="preserve"> pour l’objectif 5</w:t>
            </w:r>
            <w:r w:rsidRPr="00BE6903">
              <w:rPr>
                <w:b/>
                <w:sz w:val="20"/>
                <w:lang w:val="de-DE"/>
              </w:rPr>
              <w:t>:</w:t>
            </w:r>
          </w:p>
        </w:tc>
        <w:tc>
          <w:tcPr>
            <w:tcW w:w="6800" w:type="dxa"/>
          </w:tcPr>
          <w:p w:rsidR="00257D25" w:rsidRPr="00257D25" w:rsidRDefault="00257D25" w:rsidP="00DD7987">
            <w:pPr>
              <w:tabs>
                <w:tab w:val="right" w:pos="14175"/>
              </w:tabs>
              <w:spacing w:before="120" w:after="120" w:line="240" w:lineRule="atLeast"/>
              <w:rPr>
                <w:sz w:val="20"/>
                <w:lang w:val="fr-CH"/>
              </w:rPr>
            </w:pPr>
          </w:p>
        </w:tc>
      </w:tr>
      <w:tr w:rsidR="00257D25" w:rsidRPr="003203A9" w:rsidTr="00FB4BB7">
        <w:trPr>
          <w:cantSplit/>
        </w:trPr>
        <w:tc>
          <w:tcPr>
            <w:tcW w:w="2410" w:type="dxa"/>
          </w:tcPr>
          <w:p w:rsidR="00257D25" w:rsidRPr="00BE6903"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 xml:space="preserve">Standard </w:t>
            </w:r>
            <w:r>
              <w:rPr>
                <w:rFonts w:eastAsia="Arial" w:cs="Times New Roman"/>
                <w:b/>
                <w:sz w:val="20"/>
                <w:lang w:val="fr-CH"/>
              </w:rPr>
              <w:t xml:space="preserve">1 pour l’indicateur </w:t>
            </w:r>
            <w:r>
              <w:rPr>
                <w:b/>
                <w:sz w:val="20"/>
                <w:lang w:val="de-DE"/>
              </w:rPr>
              <w:t>3</w:t>
            </w:r>
            <w:r w:rsidRPr="00BE6903">
              <w:rPr>
                <w:b/>
                <w:sz w:val="20"/>
                <w:lang w:val="de-DE"/>
              </w:rPr>
              <w:t>:</w:t>
            </w:r>
          </w:p>
        </w:tc>
        <w:tc>
          <w:tcPr>
            <w:tcW w:w="6800" w:type="dxa"/>
          </w:tcPr>
          <w:p w:rsidR="00257D25" w:rsidRPr="00257D25" w:rsidRDefault="00257D25" w:rsidP="00DD7987">
            <w:pPr>
              <w:tabs>
                <w:tab w:val="right" w:pos="14175"/>
              </w:tabs>
              <w:spacing w:before="120" w:after="120" w:line="240" w:lineRule="atLeast"/>
              <w:rPr>
                <w:sz w:val="20"/>
                <w:lang w:val="fr-CH"/>
              </w:rPr>
            </w:pPr>
          </w:p>
        </w:tc>
      </w:tr>
      <w:tr w:rsidR="00257D25" w:rsidRPr="003203A9" w:rsidTr="00FB4BB7">
        <w:trPr>
          <w:cantSplit/>
        </w:trPr>
        <w:tc>
          <w:tcPr>
            <w:tcW w:w="2410" w:type="dxa"/>
          </w:tcPr>
          <w:p w:rsidR="00257D25" w:rsidRPr="00BE6903"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Méthodologie et instruments</w:t>
            </w:r>
          </w:p>
        </w:tc>
        <w:tc>
          <w:tcPr>
            <w:tcW w:w="6800" w:type="dxa"/>
          </w:tcPr>
          <w:p w:rsidR="00257D25" w:rsidRPr="00257D25" w:rsidRDefault="00257D25" w:rsidP="00DD7987">
            <w:pPr>
              <w:tabs>
                <w:tab w:val="right" w:pos="14175"/>
              </w:tabs>
              <w:spacing w:before="120" w:after="120" w:line="240" w:lineRule="atLeast"/>
              <w:rPr>
                <w:sz w:val="20"/>
                <w:lang w:val="fr-CH"/>
              </w:rPr>
            </w:pPr>
          </w:p>
        </w:tc>
      </w:tr>
      <w:tr w:rsidR="00257D25" w:rsidRPr="003203A9" w:rsidTr="00FB4BB7">
        <w:trPr>
          <w:cantSplit/>
        </w:trPr>
        <w:tc>
          <w:tcPr>
            <w:tcW w:w="2410" w:type="dxa"/>
            <w:shd w:val="clear" w:color="auto" w:fill="CCCCCC"/>
          </w:tcPr>
          <w:p w:rsidR="00257D25" w:rsidRDefault="00257D25" w:rsidP="00FB4BB7">
            <w:pPr>
              <w:tabs>
                <w:tab w:val="right" w:pos="14175"/>
              </w:tabs>
              <w:spacing w:before="120" w:after="120" w:line="240" w:lineRule="atLeast"/>
              <w:rPr>
                <w:b/>
                <w:sz w:val="20"/>
                <w:lang w:val="de-DE"/>
              </w:rPr>
            </w:pPr>
            <w:r>
              <w:rPr>
                <w:rFonts w:eastAsia="Arial" w:cs="Times New Roman"/>
                <w:b/>
                <w:sz w:val="20"/>
                <w:lang w:val="fr-CH"/>
              </w:rPr>
              <w:t>Objectif 6</w:t>
            </w:r>
            <w:r w:rsidRPr="006E47B2">
              <w:rPr>
                <w:rFonts w:eastAsia="Arial" w:cs="Times New Roman"/>
                <w:b/>
                <w:sz w:val="20"/>
                <w:lang w:val="fr-CH"/>
              </w:rPr>
              <w:t xml:space="preserve"> de la prestation</w:t>
            </w:r>
            <w:r>
              <w:rPr>
                <w:b/>
                <w:sz w:val="20"/>
                <w:lang w:val="de-DE"/>
              </w:rPr>
              <w:t>:</w:t>
            </w:r>
          </w:p>
        </w:tc>
        <w:tc>
          <w:tcPr>
            <w:tcW w:w="6800" w:type="dxa"/>
            <w:shd w:val="clear" w:color="auto" w:fill="CCCCCC"/>
          </w:tcPr>
          <w:p w:rsidR="00257D25" w:rsidRPr="001A3CB0" w:rsidRDefault="00257D25" w:rsidP="00DD7987">
            <w:pPr>
              <w:tabs>
                <w:tab w:val="right" w:pos="14175"/>
              </w:tabs>
              <w:spacing w:before="120" w:after="120" w:line="240" w:lineRule="atLeast"/>
              <w:rPr>
                <w:sz w:val="20"/>
                <w:lang w:val="fr-CH"/>
              </w:rPr>
            </w:pPr>
            <w:r w:rsidRPr="0070196E">
              <w:rPr>
                <w:sz w:val="20"/>
                <w:lang w:val="fr-CH"/>
              </w:rPr>
              <w:t>A</w:t>
            </w:r>
            <w:r>
              <w:rPr>
                <w:sz w:val="20"/>
                <w:lang w:val="fr-CH"/>
              </w:rPr>
              <w:t>près sa sortie, intervenue tel que planifié, l</w:t>
            </w:r>
            <w:r w:rsidRPr="00D75003">
              <w:rPr>
                <w:sz w:val="20"/>
                <w:lang w:val="fr-CH"/>
              </w:rPr>
              <w:t xml:space="preserve">’enfant ou l’adolescent(e) </w:t>
            </w:r>
            <w:r>
              <w:rPr>
                <w:sz w:val="20"/>
                <w:lang w:val="fr-CH"/>
              </w:rPr>
              <w:t>est intégré(e) à un environnement adéquat et stimulant. La poursuite du suivi est prévue, dans la mesure du nécessaire.</w:t>
            </w:r>
          </w:p>
        </w:tc>
      </w:tr>
      <w:tr w:rsidR="00257D25" w:rsidRPr="003203A9" w:rsidTr="00FB4BB7">
        <w:trPr>
          <w:cantSplit/>
        </w:trPr>
        <w:tc>
          <w:tcPr>
            <w:tcW w:w="2410" w:type="dxa"/>
          </w:tcPr>
          <w:p w:rsidR="00257D25"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Indicateur 1 pour l’objectif</w:t>
            </w:r>
            <w:r>
              <w:rPr>
                <w:b/>
                <w:sz w:val="20"/>
                <w:lang w:val="de-DE"/>
              </w:rPr>
              <w:t xml:space="preserve"> 6:</w:t>
            </w:r>
          </w:p>
        </w:tc>
        <w:tc>
          <w:tcPr>
            <w:tcW w:w="6800" w:type="dxa"/>
          </w:tcPr>
          <w:p w:rsidR="00257D25" w:rsidRPr="00257D25" w:rsidRDefault="00257D25" w:rsidP="00DD7987">
            <w:pPr>
              <w:tabs>
                <w:tab w:val="right" w:pos="14175"/>
              </w:tabs>
              <w:spacing w:before="120" w:after="120" w:line="240" w:lineRule="atLeast"/>
              <w:rPr>
                <w:sz w:val="20"/>
                <w:lang w:val="fr-CH"/>
              </w:rPr>
            </w:pPr>
          </w:p>
        </w:tc>
      </w:tr>
      <w:tr w:rsidR="00257D25" w:rsidRPr="003203A9" w:rsidTr="00FB4BB7">
        <w:trPr>
          <w:cantSplit/>
        </w:trPr>
        <w:tc>
          <w:tcPr>
            <w:tcW w:w="2410" w:type="dxa"/>
          </w:tcPr>
          <w:p w:rsidR="00257D25"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Standard pour l’indicateur 1</w:t>
            </w:r>
            <w:r>
              <w:rPr>
                <w:b/>
                <w:sz w:val="20"/>
                <w:lang w:val="de-DE"/>
              </w:rPr>
              <w:t>;</w:t>
            </w:r>
          </w:p>
        </w:tc>
        <w:tc>
          <w:tcPr>
            <w:tcW w:w="6800" w:type="dxa"/>
          </w:tcPr>
          <w:p w:rsidR="00257D25" w:rsidRPr="00257D25" w:rsidDel="00862631" w:rsidRDefault="00257D25" w:rsidP="00DD7987">
            <w:pPr>
              <w:tabs>
                <w:tab w:val="right" w:pos="14175"/>
              </w:tabs>
              <w:spacing w:before="120" w:after="120" w:line="240" w:lineRule="atLeast"/>
              <w:rPr>
                <w:sz w:val="20"/>
                <w:lang w:val="fr-CH"/>
              </w:rPr>
            </w:pPr>
          </w:p>
        </w:tc>
      </w:tr>
      <w:tr w:rsidR="00257D25" w:rsidRPr="003203A9" w:rsidTr="00FB4BB7">
        <w:trPr>
          <w:cantSplit/>
        </w:trPr>
        <w:tc>
          <w:tcPr>
            <w:tcW w:w="2410" w:type="dxa"/>
          </w:tcPr>
          <w:p w:rsidR="00257D25" w:rsidRDefault="00257D25" w:rsidP="00FB4BB7">
            <w:pPr>
              <w:tabs>
                <w:tab w:val="right" w:pos="14175"/>
              </w:tabs>
              <w:spacing w:before="120" w:after="120" w:line="240" w:lineRule="atLeast"/>
              <w:rPr>
                <w:b/>
                <w:sz w:val="20"/>
                <w:lang w:val="de-DE"/>
              </w:rPr>
            </w:pPr>
            <w:r>
              <w:rPr>
                <w:rFonts w:eastAsia="Arial" w:cs="Times New Roman"/>
                <w:b/>
                <w:sz w:val="20"/>
                <w:lang w:val="fr-CH"/>
              </w:rPr>
              <w:t>Indicateur 2</w:t>
            </w:r>
            <w:r w:rsidRPr="006E47B2">
              <w:rPr>
                <w:rFonts w:eastAsia="Arial" w:cs="Times New Roman"/>
                <w:b/>
                <w:sz w:val="20"/>
                <w:lang w:val="fr-CH"/>
              </w:rPr>
              <w:t xml:space="preserve"> pour l’objectif</w:t>
            </w:r>
            <w:r>
              <w:rPr>
                <w:b/>
                <w:sz w:val="20"/>
                <w:lang w:val="de-DE"/>
              </w:rPr>
              <w:t xml:space="preserve"> 6:</w:t>
            </w:r>
          </w:p>
        </w:tc>
        <w:tc>
          <w:tcPr>
            <w:tcW w:w="6800" w:type="dxa"/>
          </w:tcPr>
          <w:p w:rsidR="00257D25" w:rsidRPr="00257D25" w:rsidDel="00862631" w:rsidRDefault="00257D25" w:rsidP="00DD7987">
            <w:pPr>
              <w:tabs>
                <w:tab w:val="right" w:pos="14175"/>
              </w:tabs>
              <w:spacing w:before="120" w:after="120" w:line="240" w:lineRule="atLeast"/>
              <w:rPr>
                <w:sz w:val="20"/>
                <w:lang w:val="fr-CH"/>
              </w:rPr>
            </w:pPr>
          </w:p>
        </w:tc>
      </w:tr>
      <w:tr w:rsidR="00257D25" w:rsidRPr="003203A9" w:rsidTr="00FB4BB7">
        <w:trPr>
          <w:cantSplit/>
        </w:trPr>
        <w:tc>
          <w:tcPr>
            <w:tcW w:w="2410" w:type="dxa"/>
          </w:tcPr>
          <w:p w:rsidR="00257D25" w:rsidRPr="00D82F50" w:rsidRDefault="00257D25" w:rsidP="00FB4BB7">
            <w:pPr>
              <w:tabs>
                <w:tab w:val="right" w:pos="14175"/>
              </w:tabs>
              <w:spacing w:before="120" w:after="120" w:line="240" w:lineRule="atLeast"/>
              <w:rPr>
                <w:b/>
                <w:sz w:val="20"/>
              </w:rPr>
            </w:pPr>
            <w:r>
              <w:rPr>
                <w:rFonts w:eastAsia="Arial" w:cs="Times New Roman"/>
                <w:b/>
                <w:sz w:val="20"/>
                <w:lang w:val="fr-CH"/>
              </w:rPr>
              <w:t>Standard pour l’indicateur 2</w:t>
            </w:r>
            <w:r>
              <w:rPr>
                <w:b/>
                <w:sz w:val="20"/>
              </w:rPr>
              <w:t>:</w:t>
            </w:r>
          </w:p>
        </w:tc>
        <w:tc>
          <w:tcPr>
            <w:tcW w:w="6800" w:type="dxa"/>
          </w:tcPr>
          <w:p w:rsidR="00257D25" w:rsidRPr="00257D25" w:rsidDel="00862631" w:rsidRDefault="00257D25" w:rsidP="00DD7987">
            <w:pPr>
              <w:tabs>
                <w:tab w:val="right" w:pos="14175"/>
              </w:tabs>
              <w:spacing w:before="120" w:after="120" w:line="240" w:lineRule="atLeast"/>
              <w:rPr>
                <w:sz w:val="20"/>
                <w:lang w:val="fr-CH"/>
              </w:rPr>
            </w:pPr>
          </w:p>
        </w:tc>
      </w:tr>
      <w:tr w:rsidR="00257D25" w:rsidRPr="003203A9" w:rsidTr="00FB4BB7">
        <w:trPr>
          <w:cantSplit/>
        </w:trPr>
        <w:tc>
          <w:tcPr>
            <w:tcW w:w="2410" w:type="dxa"/>
          </w:tcPr>
          <w:p w:rsidR="00257D25" w:rsidRPr="00BE6903" w:rsidRDefault="00257D25" w:rsidP="00FB4BB7">
            <w:pPr>
              <w:tabs>
                <w:tab w:val="right" w:pos="14175"/>
              </w:tabs>
              <w:spacing w:before="120" w:after="120" w:line="240" w:lineRule="atLeast"/>
              <w:rPr>
                <w:b/>
                <w:sz w:val="20"/>
                <w:lang w:val="de-DE"/>
              </w:rPr>
            </w:pPr>
            <w:r w:rsidRPr="006E47B2">
              <w:rPr>
                <w:rFonts w:eastAsia="Arial" w:cs="Times New Roman"/>
                <w:b/>
                <w:sz w:val="20"/>
                <w:lang w:val="fr-CH"/>
              </w:rPr>
              <w:t>Méthodologie et instruments</w:t>
            </w:r>
          </w:p>
        </w:tc>
        <w:tc>
          <w:tcPr>
            <w:tcW w:w="6800" w:type="dxa"/>
          </w:tcPr>
          <w:p w:rsidR="00257D25" w:rsidRPr="00257D25" w:rsidRDefault="00257D25" w:rsidP="00DD7987">
            <w:pPr>
              <w:tabs>
                <w:tab w:val="right" w:pos="14175"/>
              </w:tabs>
              <w:spacing w:before="120" w:after="120" w:line="240" w:lineRule="atLeast"/>
              <w:rPr>
                <w:sz w:val="20"/>
                <w:lang w:val="fr-CH"/>
              </w:rPr>
            </w:pPr>
          </w:p>
        </w:tc>
      </w:tr>
    </w:tbl>
    <w:p w:rsidR="00257D25" w:rsidRPr="003022A3" w:rsidRDefault="00257D25" w:rsidP="003203A9">
      <w:pPr>
        <w:rPr>
          <w:lang w:val="fr-CH"/>
        </w:rPr>
      </w:pPr>
    </w:p>
    <w:sectPr w:rsidR="00257D25" w:rsidRPr="003022A3" w:rsidSect="007254A0">
      <w:headerReference w:type="even" r:id="rId8"/>
      <w:headerReference w:type="default" r:id="rId9"/>
      <w:footerReference w:type="default" r:id="rId10"/>
      <w:headerReference w:type="first" r:id="rId11"/>
      <w:footerReference w:type="first" r:id="rId1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E4" w:rsidRDefault="00F278E4" w:rsidP="00F91D37">
      <w:pPr>
        <w:spacing w:line="240" w:lineRule="auto"/>
      </w:pPr>
      <w:r>
        <w:separator/>
      </w:r>
    </w:p>
  </w:endnote>
  <w:endnote w:type="continuationSeparator" w:id="0">
    <w:p w:rsidR="00F278E4" w:rsidRDefault="00F278E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524185" w:rsidRPr="00524185">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24185">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524185" w:rsidRPr="00524185">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24185">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C5092" w:rsidRDefault="00797FDE" w:rsidP="00BC5092">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524185" w:rsidRPr="0052418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24185">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524185" w:rsidRPr="0052418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24185">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E4" w:rsidRDefault="00F278E4" w:rsidP="00F91D37">
      <w:pPr>
        <w:spacing w:line="240" w:lineRule="auto"/>
      </w:pPr>
    </w:p>
    <w:p w:rsidR="00F278E4" w:rsidRDefault="00F278E4" w:rsidP="00F91D37">
      <w:pPr>
        <w:spacing w:line="240" w:lineRule="auto"/>
      </w:pPr>
    </w:p>
  </w:footnote>
  <w:footnote w:type="continuationSeparator" w:id="0">
    <w:p w:rsidR="00F278E4" w:rsidRDefault="00F278E4"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8E4" w:rsidRDefault="00F278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06CAA" w:rsidRPr="003203A9" w:rsidTr="00EF7C56">
      <w:tc>
        <w:tcPr>
          <w:tcW w:w="5100" w:type="dxa"/>
        </w:tcPr>
        <w:p w:rsidR="00B06CAA" w:rsidRPr="00D5069D" w:rsidRDefault="00B06CAA" w:rsidP="00B06CAA">
          <w:pPr>
            <w:pStyle w:val="Kopfzeile"/>
            <w:rPr>
              <w:color w:val="FFFFFF" w:themeColor="background1"/>
            </w:rPr>
          </w:pPr>
        </w:p>
        <w:p w:rsidR="00B06CAA" w:rsidRPr="00832D99" w:rsidRDefault="00B06CAA" w:rsidP="00B06CAA">
          <w:pPr>
            <w:pStyle w:val="Kopfzeile"/>
          </w:pPr>
        </w:p>
      </w:tc>
      <w:tc>
        <w:tcPr>
          <w:tcW w:w="4878" w:type="dxa"/>
        </w:tcPr>
        <w:p w:rsidR="00B06CAA" w:rsidRPr="00257D25" w:rsidRDefault="00257D25" w:rsidP="00257D25">
          <w:pPr>
            <w:pStyle w:val="Kopfzeile"/>
            <w:rPr>
              <w:lang w:val="fr-CH"/>
            </w:rPr>
          </w:pPr>
          <w:r w:rsidRPr="00257D25">
            <w:rPr>
              <w:lang w:val="fr-CH"/>
            </w:rPr>
            <w:t>Prestation: suivi intensif dans le cadre d’un placement résidentiel</w:t>
          </w:r>
        </w:p>
      </w:tc>
    </w:tr>
  </w:tbl>
  <w:p w:rsidR="00797FDE" w:rsidRPr="00B06CAA" w:rsidRDefault="00B06CAA" w:rsidP="00B06CAA">
    <w:pPr>
      <w:pStyle w:val="Kopfzeile"/>
    </w:pPr>
    <w:r w:rsidRPr="00B0249E">
      <w:drawing>
        <wp:anchor distT="0" distB="0" distL="114300" distR="114300" simplePos="0" relativeHeight="251679743" behindDoc="0" locked="1" layoutInCell="1" allowOverlap="1" wp14:anchorId="60ADF081" wp14:editId="0BF064C6">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Affaire-Titre1"/>
      <w:lvlText w:val="%1."/>
      <w:lvlJc w:val="left"/>
      <w:pPr>
        <w:ind w:left="567" w:hanging="567"/>
      </w:pPr>
      <w:rPr>
        <w:rFonts w:hint="default"/>
      </w:rPr>
    </w:lvl>
    <w:lvl w:ilvl="1">
      <w:start w:val="1"/>
      <w:numFmt w:val="decimal"/>
      <w:pStyle w:val="Affaire-Titre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Titre2numrot"/>
      <w:lvlText w:val="%1.%2"/>
      <w:lvlJc w:val="left"/>
      <w:pPr>
        <w:ind w:left="851" w:hanging="851"/>
      </w:pPr>
      <w:rPr>
        <w:rFonts w:hint="default"/>
        <w:spacing w:val="-10"/>
      </w:rPr>
    </w:lvl>
    <w:lvl w:ilvl="2">
      <w:start w:val="1"/>
      <w:numFmt w:val="decimal"/>
      <w:pStyle w:val="Titre3numrot"/>
      <w:lvlText w:val="%1.%2.%3"/>
      <w:lvlJc w:val="left"/>
      <w:pPr>
        <w:ind w:left="851" w:hanging="851"/>
      </w:pPr>
      <w:rPr>
        <w:rFonts w:hint="default"/>
        <w:spacing w:val="-10"/>
      </w:rPr>
    </w:lvl>
    <w:lvl w:ilvl="3">
      <w:start w:val="1"/>
      <w:numFmt w:val="decimal"/>
      <w:pStyle w:val="Titre4numrot"/>
      <w:lvlText w:val="%1.%2.%3.%4"/>
      <w:lvlJc w:val="left"/>
      <w:pPr>
        <w:ind w:left="851" w:hanging="851"/>
      </w:pPr>
      <w:rPr>
        <w:rFonts w:hint="default"/>
        <w:spacing w:val="-10"/>
      </w:rPr>
    </w:lvl>
    <w:lvl w:ilvl="4">
      <w:start w:val="1"/>
      <w:numFmt w:val="decimal"/>
      <w:pStyle w:val="Titre5numro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rotage1"/>
      <w:lvlText w:val="%8."/>
      <w:lvlJc w:val="left"/>
      <w:pPr>
        <w:ind w:left="425" w:hanging="425"/>
      </w:pPr>
      <w:rPr>
        <w:rFonts w:hint="default"/>
      </w:rPr>
    </w:lvl>
    <w:lvl w:ilvl="8">
      <w:start w:val="1"/>
      <w:numFmt w:val="decimal"/>
      <w:pStyle w:val="Numrotage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Bullet1"/>
      <w:lvlText w:val="‒"/>
      <w:lvlJc w:val="left"/>
      <w:pPr>
        <w:ind w:left="284" w:hanging="284"/>
      </w:pPr>
      <w:rPr>
        <w:rFonts w:asciiTheme="minorHAnsi" w:hAnsiTheme="minorHAnsi" w:hint="default"/>
      </w:rPr>
    </w:lvl>
    <w:lvl w:ilvl="1">
      <w:start w:val="1"/>
      <w:numFmt w:val="bullet"/>
      <w:pStyle w:val="Bullet2"/>
      <w:lvlText w:val="‒"/>
      <w:lvlJc w:val="left"/>
      <w:pPr>
        <w:ind w:left="567" w:hanging="283"/>
      </w:pPr>
      <w:rPr>
        <w:rFonts w:asciiTheme="minorHAnsi" w:hAnsiTheme="minorHAnsi" w:hint="default"/>
      </w:rPr>
    </w:lvl>
    <w:lvl w:ilvl="2">
      <w:start w:val="1"/>
      <w:numFmt w:val="bullet"/>
      <w:pStyle w:val="Bullet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D9733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fr-CH" w:vendorID="64" w:dllVersion="131078" w:nlCheck="1" w:checkStyle="0"/>
  <w:activeWritingStyle w:appName="MSWord" w:lang="de-CH" w:vendorID="64" w:dllVersion="131078" w:nlCheck="1" w:checkStyle="0"/>
  <w:activeWritingStyle w:appName="MSWord" w:lang="de-DE"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255"/>
  <w:drawingGridVerticalSpacing w:val="255"/>
  <w:displayHorizontalDrawingGridEvery w:val="1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F278E4"/>
    <w:rsid w:val="00002978"/>
    <w:rsid w:val="0001010F"/>
    <w:rsid w:val="000116E1"/>
    <w:rsid w:val="000118C1"/>
    <w:rsid w:val="00015D48"/>
    <w:rsid w:val="0002147A"/>
    <w:rsid w:val="00022547"/>
    <w:rsid w:val="000258FF"/>
    <w:rsid w:val="000266B7"/>
    <w:rsid w:val="0002739A"/>
    <w:rsid w:val="00032B92"/>
    <w:rsid w:val="00034EA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976E5"/>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17B1E"/>
    <w:rsid w:val="0012151C"/>
    <w:rsid w:val="0012168B"/>
    <w:rsid w:val="0012383B"/>
    <w:rsid w:val="00124B68"/>
    <w:rsid w:val="00124F23"/>
    <w:rsid w:val="001273A1"/>
    <w:rsid w:val="00127A77"/>
    <w:rsid w:val="00130557"/>
    <w:rsid w:val="001307C8"/>
    <w:rsid w:val="001310A9"/>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16CB"/>
    <w:rsid w:val="001A666F"/>
    <w:rsid w:val="001B166D"/>
    <w:rsid w:val="001B1F85"/>
    <w:rsid w:val="001B4DBF"/>
    <w:rsid w:val="001B5E85"/>
    <w:rsid w:val="001C4D4E"/>
    <w:rsid w:val="001E2720"/>
    <w:rsid w:val="001E3FF4"/>
    <w:rsid w:val="001F2AA2"/>
    <w:rsid w:val="001F4671"/>
    <w:rsid w:val="001F4A7E"/>
    <w:rsid w:val="001F4B8C"/>
    <w:rsid w:val="001F5DB0"/>
    <w:rsid w:val="002008D7"/>
    <w:rsid w:val="00203AF7"/>
    <w:rsid w:val="0020652D"/>
    <w:rsid w:val="002141FD"/>
    <w:rsid w:val="002214E4"/>
    <w:rsid w:val="00224C53"/>
    <w:rsid w:val="00224C9B"/>
    <w:rsid w:val="00225571"/>
    <w:rsid w:val="0022685B"/>
    <w:rsid w:val="0023205B"/>
    <w:rsid w:val="00236C8A"/>
    <w:rsid w:val="00243EED"/>
    <w:rsid w:val="00244323"/>
    <w:rsid w:val="00246EC6"/>
    <w:rsid w:val="0025644A"/>
    <w:rsid w:val="00256F55"/>
    <w:rsid w:val="00257D25"/>
    <w:rsid w:val="00266772"/>
    <w:rsid w:val="00267F71"/>
    <w:rsid w:val="002712AE"/>
    <w:rsid w:val="002770BA"/>
    <w:rsid w:val="0028546A"/>
    <w:rsid w:val="00290E37"/>
    <w:rsid w:val="0029375B"/>
    <w:rsid w:val="002941D2"/>
    <w:rsid w:val="002945F1"/>
    <w:rsid w:val="00295DEC"/>
    <w:rsid w:val="002A3098"/>
    <w:rsid w:val="002A714E"/>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4DFF"/>
    <w:rsid w:val="002F534D"/>
    <w:rsid w:val="002F68A2"/>
    <w:rsid w:val="002F7482"/>
    <w:rsid w:val="0030245A"/>
    <w:rsid w:val="00305154"/>
    <w:rsid w:val="003062AD"/>
    <w:rsid w:val="0031139B"/>
    <w:rsid w:val="003127DA"/>
    <w:rsid w:val="00316B83"/>
    <w:rsid w:val="003203A9"/>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9DD"/>
    <w:rsid w:val="00364EE3"/>
    <w:rsid w:val="00367A93"/>
    <w:rsid w:val="003722B9"/>
    <w:rsid w:val="003757E4"/>
    <w:rsid w:val="00375834"/>
    <w:rsid w:val="00375D0E"/>
    <w:rsid w:val="003771E2"/>
    <w:rsid w:val="00380D67"/>
    <w:rsid w:val="0039090B"/>
    <w:rsid w:val="00394A39"/>
    <w:rsid w:val="00396082"/>
    <w:rsid w:val="0039616D"/>
    <w:rsid w:val="00396A4E"/>
    <w:rsid w:val="003A396E"/>
    <w:rsid w:val="003B02F8"/>
    <w:rsid w:val="003B1892"/>
    <w:rsid w:val="003B2CBD"/>
    <w:rsid w:val="003B4BF5"/>
    <w:rsid w:val="003D0EE8"/>
    <w:rsid w:val="003D0FAA"/>
    <w:rsid w:val="003D1066"/>
    <w:rsid w:val="003D4FCF"/>
    <w:rsid w:val="003E0D7F"/>
    <w:rsid w:val="003F1A56"/>
    <w:rsid w:val="003F70F2"/>
    <w:rsid w:val="003F711B"/>
    <w:rsid w:val="004007B2"/>
    <w:rsid w:val="0040593D"/>
    <w:rsid w:val="00410AF1"/>
    <w:rsid w:val="004165DE"/>
    <w:rsid w:val="004212A5"/>
    <w:rsid w:val="00421DB9"/>
    <w:rsid w:val="0042327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3EE5"/>
    <w:rsid w:val="004C442B"/>
    <w:rsid w:val="004C575A"/>
    <w:rsid w:val="004D0F2F"/>
    <w:rsid w:val="004D179F"/>
    <w:rsid w:val="004D21CD"/>
    <w:rsid w:val="004D5349"/>
    <w:rsid w:val="004D5B31"/>
    <w:rsid w:val="004D5F14"/>
    <w:rsid w:val="004D606F"/>
    <w:rsid w:val="004E222C"/>
    <w:rsid w:val="004E2BF5"/>
    <w:rsid w:val="004E5C94"/>
    <w:rsid w:val="004F1BCC"/>
    <w:rsid w:val="004F5FE4"/>
    <w:rsid w:val="00500294"/>
    <w:rsid w:val="00501AEF"/>
    <w:rsid w:val="00503C04"/>
    <w:rsid w:val="00513F66"/>
    <w:rsid w:val="005161DB"/>
    <w:rsid w:val="0051679B"/>
    <w:rsid w:val="00516C61"/>
    <w:rsid w:val="00524185"/>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2A0"/>
    <w:rsid w:val="00597339"/>
    <w:rsid w:val="005A7EB9"/>
    <w:rsid w:val="005B4DEC"/>
    <w:rsid w:val="005B5CD0"/>
    <w:rsid w:val="005B6FD0"/>
    <w:rsid w:val="005C6148"/>
    <w:rsid w:val="005D05F7"/>
    <w:rsid w:val="005D07AD"/>
    <w:rsid w:val="005D161E"/>
    <w:rsid w:val="005D4FBB"/>
    <w:rsid w:val="005D682F"/>
    <w:rsid w:val="005E3592"/>
    <w:rsid w:val="005E46D2"/>
    <w:rsid w:val="005E74A9"/>
    <w:rsid w:val="005F60CA"/>
    <w:rsid w:val="005F64F0"/>
    <w:rsid w:val="006009F8"/>
    <w:rsid w:val="00602616"/>
    <w:rsid w:val="006044D5"/>
    <w:rsid w:val="006051C4"/>
    <w:rsid w:val="0060750F"/>
    <w:rsid w:val="00614396"/>
    <w:rsid w:val="006201A2"/>
    <w:rsid w:val="00621CAF"/>
    <w:rsid w:val="00622FDC"/>
    <w:rsid w:val="00625020"/>
    <w:rsid w:val="00625110"/>
    <w:rsid w:val="00627A8A"/>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43E"/>
    <w:rsid w:val="0066491F"/>
    <w:rsid w:val="006656B5"/>
    <w:rsid w:val="00666A91"/>
    <w:rsid w:val="006704EE"/>
    <w:rsid w:val="0068083D"/>
    <w:rsid w:val="006822FA"/>
    <w:rsid w:val="00682FFB"/>
    <w:rsid w:val="006854F3"/>
    <w:rsid w:val="00686D14"/>
    <w:rsid w:val="00687ED7"/>
    <w:rsid w:val="00693B4C"/>
    <w:rsid w:val="0069453E"/>
    <w:rsid w:val="006B3473"/>
    <w:rsid w:val="006B61C1"/>
    <w:rsid w:val="006B7AE3"/>
    <w:rsid w:val="006C055A"/>
    <w:rsid w:val="006C144C"/>
    <w:rsid w:val="006C1669"/>
    <w:rsid w:val="006C1863"/>
    <w:rsid w:val="006E0F4E"/>
    <w:rsid w:val="006E354E"/>
    <w:rsid w:val="006E6B34"/>
    <w:rsid w:val="006E6B42"/>
    <w:rsid w:val="006E713C"/>
    <w:rsid w:val="006F01FA"/>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0308"/>
    <w:rsid w:val="00783544"/>
    <w:rsid w:val="00784279"/>
    <w:rsid w:val="00786EF3"/>
    <w:rsid w:val="00787D98"/>
    <w:rsid w:val="00790ED9"/>
    <w:rsid w:val="00794A0C"/>
    <w:rsid w:val="00796CEE"/>
    <w:rsid w:val="00797FDE"/>
    <w:rsid w:val="007A3524"/>
    <w:rsid w:val="007A6304"/>
    <w:rsid w:val="007B0A9B"/>
    <w:rsid w:val="007B0D94"/>
    <w:rsid w:val="007B2D50"/>
    <w:rsid w:val="007C0B2A"/>
    <w:rsid w:val="007D06C7"/>
    <w:rsid w:val="007D6F53"/>
    <w:rsid w:val="007E0460"/>
    <w:rsid w:val="007E15F9"/>
    <w:rsid w:val="007E3459"/>
    <w:rsid w:val="007F0876"/>
    <w:rsid w:val="007F34B1"/>
    <w:rsid w:val="007F6C97"/>
    <w:rsid w:val="00801778"/>
    <w:rsid w:val="00807940"/>
    <w:rsid w:val="00810972"/>
    <w:rsid w:val="00814BE6"/>
    <w:rsid w:val="00824CE1"/>
    <w:rsid w:val="00827ACA"/>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74B84"/>
    <w:rsid w:val="008822E5"/>
    <w:rsid w:val="00882473"/>
    <w:rsid w:val="00883CC4"/>
    <w:rsid w:val="008849F4"/>
    <w:rsid w:val="00886881"/>
    <w:rsid w:val="00894972"/>
    <w:rsid w:val="0089690A"/>
    <w:rsid w:val="008A2609"/>
    <w:rsid w:val="008A3A66"/>
    <w:rsid w:val="008B6C1A"/>
    <w:rsid w:val="008B6E4E"/>
    <w:rsid w:val="008C2769"/>
    <w:rsid w:val="008D07FD"/>
    <w:rsid w:val="008D2891"/>
    <w:rsid w:val="008D331E"/>
    <w:rsid w:val="008D57E8"/>
    <w:rsid w:val="008D6E0C"/>
    <w:rsid w:val="008E3CDA"/>
    <w:rsid w:val="008E7456"/>
    <w:rsid w:val="008F1D13"/>
    <w:rsid w:val="008F23FC"/>
    <w:rsid w:val="008F6DB7"/>
    <w:rsid w:val="0090347A"/>
    <w:rsid w:val="00904EB5"/>
    <w:rsid w:val="009052E4"/>
    <w:rsid w:val="009054F9"/>
    <w:rsid w:val="0090753C"/>
    <w:rsid w:val="00911410"/>
    <w:rsid w:val="009114C9"/>
    <w:rsid w:val="00913373"/>
    <w:rsid w:val="00915303"/>
    <w:rsid w:val="0092680C"/>
    <w:rsid w:val="009344CF"/>
    <w:rsid w:val="00935915"/>
    <w:rsid w:val="00935A5B"/>
    <w:rsid w:val="0093619F"/>
    <w:rsid w:val="009427E5"/>
    <w:rsid w:val="009454B7"/>
    <w:rsid w:val="00955032"/>
    <w:rsid w:val="009568A7"/>
    <w:rsid w:val="009613D8"/>
    <w:rsid w:val="00961618"/>
    <w:rsid w:val="0096225E"/>
    <w:rsid w:val="0097169E"/>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03BF"/>
    <w:rsid w:val="009E2171"/>
    <w:rsid w:val="009E363A"/>
    <w:rsid w:val="009E537F"/>
    <w:rsid w:val="009E5BCA"/>
    <w:rsid w:val="009F1B31"/>
    <w:rsid w:val="009F6AD9"/>
    <w:rsid w:val="00A02DA9"/>
    <w:rsid w:val="00A037AB"/>
    <w:rsid w:val="00A04CC5"/>
    <w:rsid w:val="00A06B9C"/>
    <w:rsid w:val="00A06F53"/>
    <w:rsid w:val="00A12B05"/>
    <w:rsid w:val="00A12E3A"/>
    <w:rsid w:val="00A15841"/>
    <w:rsid w:val="00A26A74"/>
    <w:rsid w:val="00A35A36"/>
    <w:rsid w:val="00A36ED7"/>
    <w:rsid w:val="00A4441C"/>
    <w:rsid w:val="00A45E6C"/>
    <w:rsid w:val="00A5451D"/>
    <w:rsid w:val="00A54B88"/>
    <w:rsid w:val="00A55C83"/>
    <w:rsid w:val="00A57815"/>
    <w:rsid w:val="00A6174D"/>
    <w:rsid w:val="00A62F82"/>
    <w:rsid w:val="00A70CDC"/>
    <w:rsid w:val="00A7133D"/>
    <w:rsid w:val="00A73616"/>
    <w:rsid w:val="00A74F5C"/>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C76D2"/>
    <w:rsid w:val="00AD138A"/>
    <w:rsid w:val="00AD36B2"/>
    <w:rsid w:val="00AD7AE5"/>
    <w:rsid w:val="00AE2DE1"/>
    <w:rsid w:val="00AF3845"/>
    <w:rsid w:val="00AF47AE"/>
    <w:rsid w:val="00AF7575"/>
    <w:rsid w:val="00AF7BA9"/>
    <w:rsid w:val="00AF7CA8"/>
    <w:rsid w:val="00B0249E"/>
    <w:rsid w:val="00B043A7"/>
    <w:rsid w:val="00B06CAA"/>
    <w:rsid w:val="00B11A9B"/>
    <w:rsid w:val="00B124A3"/>
    <w:rsid w:val="00B140B2"/>
    <w:rsid w:val="00B20BFC"/>
    <w:rsid w:val="00B225B2"/>
    <w:rsid w:val="00B327F1"/>
    <w:rsid w:val="00B32ABB"/>
    <w:rsid w:val="00B33759"/>
    <w:rsid w:val="00B41FD3"/>
    <w:rsid w:val="00B426D3"/>
    <w:rsid w:val="00B431DE"/>
    <w:rsid w:val="00B451BB"/>
    <w:rsid w:val="00B452C0"/>
    <w:rsid w:val="00B54152"/>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5092"/>
    <w:rsid w:val="00BC655F"/>
    <w:rsid w:val="00BD3717"/>
    <w:rsid w:val="00BD4A9C"/>
    <w:rsid w:val="00BE1E62"/>
    <w:rsid w:val="00BF7052"/>
    <w:rsid w:val="00C034B4"/>
    <w:rsid w:val="00C05FAB"/>
    <w:rsid w:val="00C14A87"/>
    <w:rsid w:val="00C1704D"/>
    <w:rsid w:val="00C173B3"/>
    <w:rsid w:val="00C173F8"/>
    <w:rsid w:val="00C20E5C"/>
    <w:rsid w:val="00C219C1"/>
    <w:rsid w:val="00C22430"/>
    <w:rsid w:val="00C25617"/>
    <w:rsid w:val="00C25D21"/>
    <w:rsid w:val="00C26499"/>
    <w:rsid w:val="00C26986"/>
    <w:rsid w:val="00C2702C"/>
    <w:rsid w:val="00C2765B"/>
    <w:rsid w:val="00C27D8C"/>
    <w:rsid w:val="00C27FAA"/>
    <w:rsid w:val="00C3438E"/>
    <w:rsid w:val="00C3546C"/>
    <w:rsid w:val="00C3555B"/>
    <w:rsid w:val="00C3674D"/>
    <w:rsid w:val="00C372A8"/>
    <w:rsid w:val="00C378BE"/>
    <w:rsid w:val="00C4752E"/>
    <w:rsid w:val="00C51D2F"/>
    <w:rsid w:val="00C51DEB"/>
    <w:rsid w:val="00C529A0"/>
    <w:rsid w:val="00C540E0"/>
    <w:rsid w:val="00C55150"/>
    <w:rsid w:val="00C5732E"/>
    <w:rsid w:val="00C573A1"/>
    <w:rsid w:val="00C57571"/>
    <w:rsid w:val="00C613E9"/>
    <w:rsid w:val="00C72351"/>
    <w:rsid w:val="00C7482A"/>
    <w:rsid w:val="00C74920"/>
    <w:rsid w:val="00C75D29"/>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C3997"/>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0AC"/>
    <w:rsid w:val="00DB7675"/>
    <w:rsid w:val="00DC36B9"/>
    <w:rsid w:val="00DC54BA"/>
    <w:rsid w:val="00DD1D5E"/>
    <w:rsid w:val="00DD1F80"/>
    <w:rsid w:val="00DD2BB2"/>
    <w:rsid w:val="00DD2E12"/>
    <w:rsid w:val="00DD5C42"/>
    <w:rsid w:val="00DD7987"/>
    <w:rsid w:val="00DE0955"/>
    <w:rsid w:val="00DE1D8D"/>
    <w:rsid w:val="00DE49FA"/>
    <w:rsid w:val="00DF4E3D"/>
    <w:rsid w:val="00DF62F4"/>
    <w:rsid w:val="00E0021E"/>
    <w:rsid w:val="00E0430F"/>
    <w:rsid w:val="00E04A81"/>
    <w:rsid w:val="00E05E7B"/>
    <w:rsid w:val="00E10385"/>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EF6350"/>
    <w:rsid w:val="00F016BC"/>
    <w:rsid w:val="00F01EA9"/>
    <w:rsid w:val="00F03F53"/>
    <w:rsid w:val="00F052A0"/>
    <w:rsid w:val="00F0660B"/>
    <w:rsid w:val="00F07D9D"/>
    <w:rsid w:val="00F11F49"/>
    <w:rsid w:val="00F123AE"/>
    <w:rsid w:val="00F13F0C"/>
    <w:rsid w:val="00F1552A"/>
    <w:rsid w:val="00F16C91"/>
    <w:rsid w:val="00F25768"/>
    <w:rsid w:val="00F278E4"/>
    <w:rsid w:val="00F32B93"/>
    <w:rsid w:val="00F37F4F"/>
    <w:rsid w:val="00F417C0"/>
    <w:rsid w:val="00F51185"/>
    <w:rsid w:val="00F52CAB"/>
    <w:rsid w:val="00F54596"/>
    <w:rsid w:val="00F5551A"/>
    <w:rsid w:val="00F60160"/>
    <w:rsid w:val="00F6128A"/>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A51EE"/>
    <w:rsid w:val="00FA5E8F"/>
    <w:rsid w:val="00FB239D"/>
    <w:rsid w:val="00FB5828"/>
    <w:rsid w:val="00FB657F"/>
    <w:rsid w:val="00FB7DDF"/>
    <w:rsid w:val="00FC5023"/>
    <w:rsid w:val="00FD2271"/>
    <w:rsid w:val="00FD6290"/>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797D77D-4123-4EA9-9F07-1E5BA811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5FE4"/>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4F5FE4"/>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aliases w:val="Objet"/>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aliases w:val="Objet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Bullet1">
    <w:name w:val="Bullet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Affaire-Titre1">
    <w:name w:val="Affaire-Titre 1"/>
    <w:basedOn w:val="Bullet1"/>
    <w:next w:val="Texte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Bullet2">
    <w:name w:val="Bullet 2"/>
    <w:basedOn w:val="Bullet1"/>
    <w:uiPriority w:val="2"/>
    <w:rsid w:val="004C3880"/>
    <w:pPr>
      <w:numPr>
        <w:ilvl w:val="1"/>
      </w:numPr>
    </w:pPr>
  </w:style>
  <w:style w:type="paragraph" w:customStyle="1" w:styleId="Bullet3">
    <w:name w:val="Bullet 3"/>
    <w:basedOn w:val="Bullet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Titre 1 (numéroté)"/>
    <w:basedOn w:val="berschrift1"/>
    <w:next w:val="Standard"/>
    <w:uiPriority w:val="10"/>
    <w:qFormat/>
    <w:rsid w:val="00F32B93"/>
    <w:pPr>
      <w:numPr>
        <w:numId w:val="24"/>
      </w:numPr>
    </w:pPr>
  </w:style>
  <w:style w:type="paragraph" w:customStyle="1" w:styleId="Titre2numrot">
    <w:name w:val="Titre 2 (numéroté)"/>
    <w:basedOn w:val="berschrift2"/>
    <w:next w:val="Standard"/>
    <w:uiPriority w:val="10"/>
    <w:qFormat/>
    <w:rsid w:val="00513F66"/>
    <w:pPr>
      <w:numPr>
        <w:ilvl w:val="1"/>
        <w:numId w:val="24"/>
      </w:numPr>
      <w:spacing w:before="540"/>
    </w:pPr>
  </w:style>
  <w:style w:type="paragraph" w:customStyle="1" w:styleId="Titre3numrot">
    <w:name w:val="Titre 3 (numéroté)"/>
    <w:basedOn w:val="berschrift3"/>
    <w:next w:val="Standard"/>
    <w:uiPriority w:val="10"/>
    <w:qFormat/>
    <w:rsid w:val="00B426D3"/>
    <w:pPr>
      <w:numPr>
        <w:ilvl w:val="2"/>
        <w:numId w:val="24"/>
      </w:numPr>
      <w:tabs>
        <w:tab w:val="left" w:pos="851"/>
      </w:tabs>
    </w:pPr>
  </w:style>
  <w:style w:type="paragraph" w:customStyle="1" w:styleId="Titre4numrot">
    <w:name w:val="Titre 4 (numéroté)"/>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rotage1">
    <w:name w:val="Numérotage 1"/>
    <w:basedOn w:val="Standard"/>
    <w:uiPriority w:val="3"/>
    <w:qFormat/>
    <w:rsid w:val="00B56332"/>
    <w:pPr>
      <w:numPr>
        <w:ilvl w:val="7"/>
        <w:numId w:val="24"/>
      </w:numPr>
      <w:ind w:left="284" w:hanging="284"/>
    </w:pPr>
  </w:style>
  <w:style w:type="paragraph" w:customStyle="1" w:styleId="Numrotage2">
    <w:name w:val="Numérotage 2"/>
    <w:basedOn w:val="Numrotage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e85pt">
    <w:name w:val="Texte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Bullet85pt">
    <w:name w:val="Bullet 8.5 pt"/>
    <w:basedOn w:val="Bullet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e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Titre5numrot">
    <w:name w:val="Titre 5 (numéroté)"/>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e65pt">
    <w:name w:val="Texte 6.5 pt"/>
    <w:basedOn w:val="Texte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e13pt">
    <w:name w:val="Texte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Affaire-Titre2">
    <w:name w:val="Affaire-Titre 2"/>
    <w:basedOn w:val="Texte85pt"/>
    <w:next w:val="Texte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F278E4"/>
    <w:rPr>
      <w:sz w:val="16"/>
      <w:szCs w:val="16"/>
    </w:rPr>
  </w:style>
  <w:style w:type="paragraph" w:styleId="Kommentartext">
    <w:name w:val="annotation text"/>
    <w:basedOn w:val="Standard"/>
    <w:link w:val="KommentartextZchn"/>
    <w:uiPriority w:val="99"/>
    <w:semiHidden/>
    <w:unhideWhenUsed/>
    <w:rsid w:val="00F278E4"/>
    <w:pPr>
      <w:spacing w:after="220" w:line="240" w:lineRule="auto"/>
    </w:pPr>
    <w:rPr>
      <w:rFonts w:ascii="Arial" w:hAnsi="Arial" w:cs="Times New Roman"/>
      <w:bCs w:val="0"/>
      <w:spacing w:val="0"/>
      <w:sz w:val="20"/>
      <w:szCs w:val="20"/>
    </w:rPr>
  </w:style>
  <w:style w:type="character" w:customStyle="1" w:styleId="KommentartextZchn">
    <w:name w:val="Kommentartext Zchn"/>
    <w:basedOn w:val="Absatz-Standardschriftart"/>
    <w:link w:val="Kommentartext"/>
    <w:uiPriority w:val="99"/>
    <w:semiHidden/>
    <w:rsid w:val="00F278E4"/>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68964342">
      <w:bodyDiv w:val="1"/>
      <w:marLeft w:val="0"/>
      <w:marRight w:val="0"/>
      <w:marTop w:val="0"/>
      <w:marBottom w:val="0"/>
      <w:divBdr>
        <w:top w:val="none" w:sz="0" w:space="0" w:color="auto"/>
        <w:left w:val="none" w:sz="0" w:space="0" w:color="auto"/>
        <w:bottom w:val="none" w:sz="0" w:space="0" w:color="auto"/>
        <w:right w:val="none" w:sz="0" w:space="0" w:color="auto"/>
      </w:divBdr>
    </w:div>
    <w:div w:id="123543581">
      <w:bodyDiv w:val="1"/>
      <w:marLeft w:val="0"/>
      <w:marRight w:val="0"/>
      <w:marTop w:val="0"/>
      <w:marBottom w:val="0"/>
      <w:divBdr>
        <w:top w:val="none" w:sz="0" w:space="0" w:color="auto"/>
        <w:left w:val="none" w:sz="0" w:space="0" w:color="auto"/>
        <w:bottom w:val="none" w:sz="0" w:space="0" w:color="auto"/>
        <w:right w:val="none" w:sz="0" w:space="0" w:color="auto"/>
      </w:divBdr>
    </w:div>
    <w:div w:id="178393796">
      <w:bodyDiv w:val="1"/>
      <w:marLeft w:val="0"/>
      <w:marRight w:val="0"/>
      <w:marTop w:val="0"/>
      <w:marBottom w:val="0"/>
      <w:divBdr>
        <w:top w:val="none" w:sz="0" w:space="0" w:color="auto"/>
        <w:left w:val="none" w:sz="0" w:space="0" w:color="auto"/>
        <w:bottom w:val="none" w:sz="0" w:space="0" w:color="auto"/>
        <w:right w:val="none" w:sz="0" w:space="0" w:color="auto"/>
      </w:divBdr>
    </w:div>
    <w:div w:id="323557604">
      <w:bodyDiv w:val="1"/>
      <w:marLeft w:val="0"/>
      <w:marRight w:val="0"/>
      <w:marTop w:val="0"/>
      <w:marBottom w:val="0"/>
      <w:divBdr>
        <w:top w:val="none" w:sz="0" w:space="0" w:color="auto"/>
        <w:left w:val="none" w:sz="0" w:space="0" w:color="auto"/>
        <w:bottom w:val="none" w:sz="0" w:space="0" w:color="auto"/>
        <w:right w:val="none" w:sz="0" w:space="0" w:color="auto"/>
      </w:divBdr>
    </w:div>
    <w:div w:id="52136255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14133587">
      <w:bodyDiv w:val="1"/>
      <w:marLeft w:val="0"/>
      <w:marRight w:val="0"/>
      <w:marTop w:val="0"/>
      <w:marBottom w:val="0"/>
      <w:divBdr>
        <w:top w:val="none" w:sz="0" w:space="0" w:color="auto"/>
        <w:left w:val="none" w:sz="0" w:space="0" w:color="auto"/>
        <w:bottom w:val="none" w:sz="0" w:space="0" w:color="auto"/>
        <w:right w:val="none" w:sz="0" w:space="0" w:color="auto"/>
      </w:divBdr>
    </w:div>
    <w:div w:id="17356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Benutzerdefiniert 23">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7F6E4E00-98BA-4AA9-B0C4-6F3E0871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4564</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Modèle du descriptif de prestation: suivi intensif dans le cadre d’un placement résidentiel</vt:lpstr>
      <vt:lpstr>Descriptif de prestation: suivi intensif dans le cadre d’un placement résidentiel</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du descriptif de prestation: suivi intensif dans le cadre d’un placement résidentiel</dc:title>
  <dc:creator>OM</dc:creator>
  <dc:description>numéro de document</dc:description>
  <cp:lastModifiedBy>Habegger Manuel, DIJ-KJA</cp:lastModifiedBy>
  <cp:revision>2</cp:revision>
  <cp:lastPrinted>2020-11-02T20:32:00Z</cp:lastPrinted>
  <dcterms:created xsi:type="dcterms:W3CDTF">2021-10-05T11:34:00Z</dcterms:created>
  <dcterms:modified xsi:type="dcterms:W3CDTF">2021-10-05T11:34:00Z</dcterms:modified>
</cp:coreProperties>
</file>