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AE0D13" w:rsidRPr="006E47B2" w14:paraId="1B3D1813" w14:textId="77777777" w:rsidTr="0007095A">
        <w:trPr>
          <w:gridAfter w:val="1"/>
          <w:wAfter w:w="4876" w:type="dxa"/>
          <w:trHeight w:val="1219"/>
        </w:trPr>
        <w:tc>
          <w:tcPr>
            <w:tcW w:w="5102" w:type="dxa"/>
            <w:vMerge w:val="restart"/>
          </w:tcPr>
          <w:p w14:paraId="395E19D4" w14:textId="77777777" w:rsidR="00AE0D13" w:rsidRPr="006E47B2" w:rsidRDefault="00AE0D13" w:rsidP="0007095A">
            <w:pPr>
              <w:pStyle w:val="Texte85pt"/>
              <w:rPr>
                <w:lang w:val="fr-CH"/>
              </w:rPr>
            </w:pPr>
            <w:bookmarkStart w:id="0" w:name="_GoBack"/>
            <w:bookmarkEnd w:id="0"/>
            <w:r w:rsidRPr="006E47B2">
              <w:rPr>
                <w:lang w:val="fr-CH"/>
              </w:rPr>
              <w:t>Direction de l’intérieur et de la justice</w:t>
            </w:r>
          </w:p>
          <w:p w14:paraId="6A11AE75" w14:textId="77777777" w:rsidR="00AE0D13" w:rsidRPr="006E47B2" w:rsidRDefault="00AE0D13" w:rsidP="001B4DBF">
            <w:pPr>
              <w:pStyle w:val="Texte85pt"/>
              <w:rPr>
                <w:lang w:val="fr-CH"/>
              </w:rPr>
            </w:pPr>
            <w:r w:rsidRPr="006E47B2">
              <w:rPr>
                <w:lang w:val="fr-CH"/>
              </w:rPr>
              <w:t>Office des mineurs</w:t>
            </w:r>
          </w:p>
          <w:p w14:paraId="435EBF02" w14:textId="77777777" w:rsidR="00AE0D13" w:rsidRPr="006E47B2" w:rsidRDefault="00AE0D13" w:rsidP="001B4DBF">
            <w:pPr>
              <w:pStyle w:val="Texte85pt"/>
              <w:rPr>
                <w:lang w:val="fr-CH"/>
              </w:rPr>
            </w:pPr>
          </w:p>
          <w:p w14:paraId="24D276E9" w14:textId="77777777" w:rsidR="00AE0D13" w:rsidRPr="006E47B2" w:rsidRDefault="00AE0D13" w:rsidP="0007095A">
            <w:pPr>
              <w:pStyle w:val="Texte85pt"/>
              <w:rPr>
                <w:lang w:val="fr-CH"/>
              </w:rPr>
            </w:pPr>
            <w:r w:rsidRPr="006E47B2">
              <w:rPr>
                <w:lang w:val="fr-CH"/>
              </w:rPr>
              <w:t>Hallerstrasse 5</w:t>
            </w:r>
          </w:p>
          <w:p w14:paraId="3928918D" w14:textId="77777777" w:rsidR="00AE0D13" w:rsidRPr="006E47B2" w:rsidRDefault="00AE0D13" w:rsidP="0007095A">
            <w:pPr>
              <w:pStyle w:val="Texte85pt"/>
              <w:rPr>
                <w:lang w:val="fr-CH"/>
              </w:rPr>
            </w:pPr>
            <w:r w:rsidRPr="006E47B2">
              <w:rPr>
                <w:lang w:val="fr-CH"/>
              </w:rPr>
              <w:t>Case postale</w:t>
            </w:r>
          </w:p>
          <w:p w14:paraId="64649DF2" w14:textId="77777777" w:rsidR="00AE0D13" w:rsidRPr="006A1570" w:rsidRDefault="00AE0D13" w:rsidP="0007095A">
            <w:pPr>
              <w:pStyle w:val="Texte85pt"/>
              <w:rPr>
                <w:lang w:val="de-DE"/>
              </w:rPr>
            </w:pPr>
            <w:r w:rsidRPr="006A1570">
              <w:rPr>
                <w:lang w:val="de-DE"/>
              </w:rPr>
              <w:t>3001 Berne</w:t>
            </w:r>
          </w:p>
          <w:p w14:paraId="030C30F3" w14:textId="77777777" w:rsidR="00AE0D13" w:rsidRPr="006A1570" w:rsidRDefault="00AE0D13" w:rsidP="0007095A">
            <w:pPr>
              <w:pStyle w:val="Texte85pt"/>
              <w:rPr>
                <w:lang w:val="de-DE"/>
              </w:rPr>
            </w:pPr>
            <w:r w:rsidRPr="006A1570">
              <w:rPr>
                <w:lang w:val="de-DE"/>
              </w:rPr>
              <w:t>+41 31 633 76 33</w:t>
            </w:r>
          </w:p>
          <w:p w14:paraId="05BE7A33" w14:textId="77777777" w:rsidR="00AE0D13" w:rsidRPr="006A1570" w:rsidRDefault="00AE0D13" w:rsidP="0007095A">
            <w:pPr>
              <w:pStyle w:val="Texte85pt"/>
              <w:rPr>
                <w:lang w:val="de-DE"/>
              </w:rPr>
            </w:pPr>
            <w:r w:rsidRPr="006A1570">
              <w:rPr>
                <w:lang w:val="de-DE"/>
              </w:rPr>
              <w:t>kja-bern@be.ch</w:t>
            </w:r>
          </w:p>
          <w:p w14:paraId="7762B88A" w14:textId="77777777" w:rsidR="00AE0D13" w:rsidRPr="006A1570" w:rsidRDefault="00AE0D13" w:rsidP="0007095A">
            <w:pPr>
              <w:pStyle w:val="Texte85pt"/>
              <w:rPr>
                <w:lang w:val="de-DE"/>
              </w:rPr>
            </w:pPr>
            <w:r w:rsidRPr="006A1570">
              <w:rPr>
                <w:lang w:val="de-DE"/>
              </w:rPr>
              <w:t>www.be.ch/om</w:t>
            </w:r>
          </w:p>
          <w:p w14:paraId="214E77F1" w14:textId="77777777" w:rsidR="00AE0D13" w:rsidRPr="006A1570" w:rsidRDefault="00AE0D13" w:rsidP="0007095A">
            <w:pPr>
              <w:pStyle w:val="Texte85pt"/>
              <w:rPr>
                <w:lang w:val="de-DE"/>
              </w:rPr>
            </w:pPr>
          </w:p>
          <w:p w14:paraId="5A5C1FCE" w14:textId="77777777" w:rsidR="00AE0D13" w:rsidRPr="006A1570" w:rsidRDefault="00AE0D13" w:rsidP="008D57E8">
            <w:pPr>
              <w:pStyle w:val="Texte85pt"/>
              <w:rPr>
                <w:lang w:val="de-DE"/>
              </w:rPr>
            </w:pPr>
          </w:p>
        </w:tc>
      </w:tr>
      <w:tr w:rsidR="00AE0D13" w:rsidRPr="006E47B2" w14:paraId="27D6A545" w14:textId="77777777" w:rsidTr="00AE0D13">
        <w:trPr>
          <w:gridAfter w:val="1"/>
          <w:wAfter w:w="4876" w:type="dxa"/>
          <w:trHeight w:val="1224"/>
        </w:trPr>
        <w:tc>
          <w:tcPr>
            <w:tcW w:w="5102" w:type="dxa"/>
            <w:vMerge/>
          </w:tcPr>
          <w:p w14:paraId="11D15C82" w14:textId="77777777" w:rsidR="00AE0D13" w:rsidRPr="006A1570" w:rsidRDefault="00AE0D13" w:rsidP="0007095A">
            <w:pPr>
              <w:rPr>
                <w:lang w:val="de-DE"/>
              </w:rPr>
            </w:pPr>
          </w:p>
        </w:tc>
      </w:tr>
      <w:tr w:rsidR="00AA0E6D" w:rsidRPr="006E47B2" w14:paraId="099F0DDC" w14:textId="77777777" w:rsidTr="0007095A">
        <w:trPr>
          <w:trHeight w:val="283"/>
        </w:trPr>
        <w:tc>
          <w:tcPr>
            <w:tcW w:w="5102" w:type="dxa"/>
            <w:vMerge/>
          </w:tcPr>
          <w:p w14:paraId="708F0AD3" w14:textId="77777777" w:rsidR="00AA0E6D" w:rsidRPr="006A1570" w:rsidRDefault="00AA0E6D" w:rsidP="0007095A">
            <w:pPr>
              <w:rPr>
                <w:lang w:val="de-DE"/>
              </w:rPr>
            </w:pPr>
          </w:p>
        </w:tc>
        <w:tc>
          <w:tcPr>
            <w:tcW w:w="4876" w:type="dxa"/>
          </w:tcPr>
          <w:p w14:paraId="3A9F3AC9" w14:textId="77777777" w:rsidR="00AA0E6D" w:rsidRPr="006A1570" w:rsidRDefault="00AA0E6D" w:rsidP="0007095A">
            <w:pPr>
              <w:pStyle w:val="Texte85pt"/>
              <w:rPr>
                <w:lang w:val="de-DE"/>
              </w:rPr>
            </w:pPr>
          </w:p>
        </w:tc>
      </w:tr>
    </w:tbl>
    <w:p w14:paraId="6B2C5711" w14:textId="77777777" w:rsidR="00AA0E6D" w:rsidRPr="006E47B2" w:rsidRDefault="00BE16B5" w:rsidP="008A4E61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lang w:val="fr-CH"/>
        </w:rPr>
      </w:pPr>
      <w:sdt>
        <w:sdtPr>
          <w:rPr>
            <w:rFonts w:ascii="Arial" w:eastAsia="Arial" w:hAnsi="Arial" w:cs="Times New Roman"/>
            <w:bCs w:val="0"/>
            <w:spacing w:val="0"/>
            <w:sz w:val="26"/>
            <w:lang w:val="fr-CH"/>
          </w:rPr>
          <w:id w:val="1455761124"/>
          <w:placeholder>
            <w:docPart w:val="CDBE8370B5D64C409197FE9DF3EB1088"/>
          </w:placeholder>
          <w:text w:multiLine="1"/>
        </w:sdtPr>
        <w:sdtEndPr/>
        <w:sdtContent>
          <w:r w:rsidR="00AE0D13" w:rsidRPr="006E47B2">
            <w:rPr>
              <w:rFonts w:ascii="Arial" w:eastAsia="Arial" w:hAnsi="Arial" w:cs="Times New Roman"/>
              <w:bCs w:val="0"/>
              <w:spacing w:val="0"/>
              <w:sz w:val="26"/>
              <w:lang w:val="fr-CH"/>
            </w:rPr>
            <w:t>Prestation: encadrement socio-pédagogique et hébergement en milieu ouvert pour une longue période</w:t>
          </w:r>
        </w:sdtContent>
      </w:sdt>
    </w:p>
    <w:p w14:paraId="1F1506F0" w14:textId="77777777" w:rsidR="00AA0E6D" w:rsidRPr="006E47B2" w:rsidRDefault="00AA0E6D" w:rsidP="00AA0E6D">
      <w:pPr>
        <w:rPr>
          <w:lang w:val="fr-CH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AE0D13" w:rsidRPr="006E47B2" w14:paraId="41C6F47A" w14:textId="77777777" w:rsidTr="009A387A">
        <w:trPr>
          <w:cantSplit/>
        </w:trPr>
        <w:tc>
          <w:tcPr>
            <w:tcW w:w="3331" w:type="dxa"/>
          </w:tcPr>
          <w:p w14:paraId="04B7DE10" w14:textId="77777777" w:rsidR="00AE0D13" w:rsidRPr="006E47B2" w:rsidRDefault="00AE0D13" w:rsidP="00AE0D13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Catalogue de prestations:</w:t>
            </w: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BA1F" w14:textId="77777777" w:rsidR="00AE0D13" w:rsidRPr="006E47B2" w:rsidRDefault="00AE0D13" w:rsidP="00AE0D13">
            <w:pPr>
              <w:tabs>
                <w:tab w:val="right" w:pos="14175"/>
              </w:tabs>
              <w:spacing w:before="100" w:after="100" w:line="280" w:lineRule="atLeast"/>
              <w:jc w:val="center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Prestation de type résidentiel </w:t>
            </w:r>
          </w:p>
        </w:tc>
      </w:tr>
    </w:tbl>
    <w:p w14:paraId="089DD586" w14:textId="77777777" w:rsidR="00AE0D13" w:rsidRPr="006E47B2" w:rsidRDefault="00AE0D13" w:rsidP="00AE0D13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AE0D13" w:rsidRPr="00152A5E" w14:paraId="244A0BD1" w14:textId="77777777" w:rsidTr="009A387A">
        <w:trPr>
          <w:cantSplit/>
        </w:trPr>
        <w:tc>
          <w:tcPr>
            <w:tcW w:w="3331" w:type="dxa"/>
          </w:tcPr>
          <w:p w14:paraId="2A152A0E" w14:textId="77777777" w:rsidR="00AE0D13" w:rsidRPr="006E47B2" w:rsidRDefault="00AE0D13" w:rsidP="00AE0D13">
            <w:pPr>
              <w:tabs>
                <w:tab w:val="right" w:pos="14175"/>
              </w:tabs>
              <w:spacing w:before="120" w:line="280" w:lineRule="atLeast"/>
              <w:ind w:right="111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Descriptif de la prestation:</w:t>
            </w:r>
          </w:p>
        </w:tc>
        <w:tc>
          <w:tcPr>
            <w:tcW w:w="5883" w:type="dxa"/>
          </w:tcPr>
          <w:p w14:paraId="08FB33A8" w14:textId="659181ED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ind w:right="111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Les enfants et les adolescents vivent dans l’institution et y sont encadrés et encouragés par des mesures </w:t>
            </w:r>
            <w:r w:rsidR="0079164D"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socio-pédagogiques</w:t>
            </w: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.</w:t>
            </w:r>
          </w:p>
          <w:p w14:paraId="27F95BF8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ind w:right="111"/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i/>
                <w:spacing w:val="0"/>
                <w:sz w:val="20"/>
                <w:lang w:val="fr-CH"/>
              </w:rPr>
              <w:t>Informations supplémentaires, propres à l’institution, sur la période de la prise en charge (p. ex. toute l’année, durant les jours ouvrés)</w:t>
            </w:r>
          </w:p>
        </w:tc>
      </w:tr>
      <w:tr w:rsidR="00AE0D13" w:rsidRPr="006E47B2" w14:paraId="00158F02" w14:textId="77777777" w:rsidTr="009A387A">
        <w:trPr>
          <w:cantSplit/>
        </w:trPr>
        <w:tc>
          <w:tcPr>
            <w:tcW w:w="3331" w:type="dxa"/>
          </w:tcPr>
          <w:p w14:paraId="47B418C8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00" w:line="280" w:lineRule="atLeast"/>
              <w:ind w:right="111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Objectifs supérieurs:</w:t>
            </w:r>
          </w:p>
        </w:tc>
        <w:tc>
          <w:tcPr>
            <w:tcW w:w="5883" w:type="dxa"/>
          </w:tcPr>
          <w:p w14:paraId="632791E9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ind w:right="111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L’enfant / l’adolescent(e) est largement soutenu(e) dans son développement aux plans émotionnel, social, intellectuel et physique dans le cadre d’objectifs d’encouragement qui ont été convenus. Une intégration sociale conforme à son âge est atteinte.</w:t>
            </w:r>
          </w:p>
        </w:tc>
      </w:tr>
      <w:tr w:rsidR="00AE0D13" w:rsidRPr="00152A5E" w14:paraId="2247560B" w14:textId="77777777" w:rsidTr="009A387A">
        <w:trPr>
          <w:cantSplit/>
        </w:trPr>
        <w:tc>
          <w:tcPr>
            <w:tcW w:w="3331" w:type="dxa"/>
          </w:tcPr>
          <w:p w14:paraId="561C00C3" w14:textId="77777777" w:rsidR="00AE0D13" w:rsidRPr="006E47B2" w:rsidRDefault="00AE0D13" w:rsidP="00AE0D13">
            <w:pPr>
              <w:tabs>
                <w:tab w:val="right" w:pos="14175"/>
              </w:tabs>
              <w:spacing w:before="120" w:line="280" w:lineRule="atLeast"/>
              <w:ind w:right="111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Destinataires de la prestation:</w:t>
            </w:r>
          </w:p>
        </w:tc>
        <w:tc>
          <w:tcPr>
            <w:tcW w:w="5883" w:type="dxa"/>
          </w:tcPr>
          <w:p w14:paraId="0B562C29" w14:textId="77777777" w:rsidR="00AE0D13" w:rsidRPr="006E47B2" w:rsidRDefault="00AE0D13" w:rsidP="00AE0D13">
            <w:pPr>
              <w:keepNext/>
              <w:keepLines/>
              <w:spacing w:before="120" w:after="60" w:line="240" w:lineRule="atLeast"/>
              <w:ind w:right="111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6E47B2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Les enfants et </w:t>
            </w:r>
            <w:r w:rsidRPr="006E47B2">
              <w:rPr>
                <w:rFonts w:ascii="Arial" w:eastAsia="Times New Roman" w:hAnsi="Arial" w:cs="Arial"/>
                <w:spacing w:val="0"/>
                <w:sz w:val="20"/>
                <w:szCs w:val="20"/>
                <w:lang w:val="fr-CH"/>
              </w:rPr>
              <w:t>les adolescents</w:t>
            </w:r>
            <w:r w:rsidRPr="006E47B2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 xml:space="preserve"> qui ne peuvent pas vivre dans leur famille d’origine.</w:t>
            </w:r>
          </w:p>
          <w:p w14:paraId="159578C8" w14:textId="4906FA16" w:rsidR="00AE0D13" w:rsidRPr="006E47B2" w:rsidRDefault="00AE0D13" w:rsidP="00AE0D13">
            <w:pPr>
              <w:keepNext/>
              <w:keepLines/>
              <w:spacing w:before="120" w:after="120" w:line="240" w:lineRule="atLeast"/>
              <w:ind w:right="111"/>
              <w:outlineLvl w:val="1"/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  <w:lang w:val="fr-CH"/>
              </w:rPr>
            </w:pPr>
            <w:r w:rsidRPr="006E47B2">
              <w:rPr>
                <w:rFonts w:ascii="Arial" w:eastAsia="Times New Roman" w:hAnsi="Arial" w:cs="Times New Roman"/>
                <w:i/>
                <w:spacing w:val="0"/>
                <w:sz w:val="20"/>
                <w:szCs w:val="26"/>
                <w:lang w:val="fr-CH"/>
              </w:rPr>
              <w:t>Indications, sexe, âge (âge minimal lors de l’admission, âge maximal lors de la sortie)</w:t>
            </w:r>
          </w:p>
        </w:tc>
      </w:tr>
    </w:tbl>
    <w:p w14:paraId="25BC9F1E" w14:textId="77777777" w:rsidR="00AE0D13" w:rsidRPr="006E47B2" w:rsidRDefault="00AE0D13" w:rsidP="00BC266F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i/>
          <w:spacing w:val="0"/>
          <w:sz w:val="20"/>
          <w:lang w:val="fr-CH"/>
        </w:rPr>
      </w:pPr>
    </w:p>
    <w:p w14:paraId="031100BB" w14:textId="77777777" w:rsidR="00AE0D13" w:rsidRPr="006E47B2" w:rsidRDefault="00AE0D13" w:rsidP="00AE0D13">
      <w:pPr>
        <w:tabs>
          <w:tab w:val="right" w:pos="14175"/>
        </w:tabs>
        <w:spacing w:after="240" w:line="280" w:lineRule="atLeast"/>
        <w:rPr>
          <w:rFonts w:ascii="Arial" w:eastAsia="Arial" w:hAnsi="Arial" w:cs="Times New Roman"/>
          <w:bCs w:val="0"/>
          <w:i/>
          <w:spacing w:val="0"/>
          <w:sz w:val="20"/>
          <w:lang w:val="fr-CH"/>
        </w:rPr>
      </w:pPr>
      <w:r w:rsidRPr="006E47B2">
        <w:rPr>
          <w:rFonts w:ascii="Arial" w:eastAsia="Arial" w:hAnsi="Arial" w:cs="Times New Roman"/>
          <w:bCs w:val="0"/>
          <w:i/>
          <w:spacing w:val="0"/>
          <w:sz w:val="20"/>
          <w:lang w:val="fr-CH"/>
        </w:rPr>
        <w:t>Plusieurs indicateurs et standards peuvent être rattachés à un objectif de prestation.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AE0D13" w:rsidRPr="00152A5E" w14:paraId="522DCB7C" w14:textId="77777777" w:rsidTr="009A387A">
        <w:trPr>
          <w:cantSplit/>
        </w:trPr>
        <w:tc>
          <w:tcPr>
            <w:tcW w:w="3331" w:type="dxa"/>
            <w:shd w:val="clear" w:color="auto" w:fill="CCCCCC"/>
          </w:tcPr>
          <w:p w14:paraId="3E55ADA5" w14:textId="77777777" w:rsidR="00AE0D13" w:rsidRPr="006E47B2" w:rsidRDefault="00AE0D13" w:rsidP="00AE0D13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1 de la prestation:</w:t>
            </w:r>
          </w:p>
        </w:tc>
        <w:tc>
          <w:tcPr>
            <w:tcW w:w="5883" w:type="dxa"/>
            <w:shd w:val="clear" w:color="auto" w:fill="CCCCCC"/>
          </w:tcPr>
          <w:p w14:paraId="77F3771F" w14:textId="77777777" w:rsidR="00AE0D13" w:rsidRPr="006E47B2" w:rsidRDefault="00AE0D13" w:rsidP="00AE0D13">
            <w:pPr>
              <w:spacing w:before="120" w:line="240" w:lineRule="auto"/>
              <w:rPr>
                <w:rFonts w:ascii="Arial" w:eastAsia="Arial" w:hAnsi="Arial" w:cs="Times New Roman"/>
                <w:bCs w:val="0"/>
                <w:spacing w:val="0"/>
                <w:sz w:val="22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szCs w:val="20"/>
                <w:lang w:val="fr-CH"/>
              </w:rPr>
              <w:t>Les enfants et les adolescents se développent et progressent dans l’acquisition d’une forme d’indépendance, dans leur comportement social, la communication et les domaines de la vie quotidienne. Ils sont à même de mener une réflexion sur leur situation personnelle et familiale.</w:t>
            </w:r>
          </w:p>
        </w:tc>
      </w:tr>
      <w:tr w:rsidR="00AE0D13" w:rsidRPr="00152A5E" w14:paraId="3153470B" w14:textId="77777777" w:rsidTr="009A387A">
        <w:trPr>
          <w:cantSplit/>
        </w:trPr>
        <w:tc>
          <w:tcPr>
            <w:tcW w:w="3331" w:type="dxa"/>
          </w:tcPr>
          <w:p w14:paraId="41E42B30" w14:textId="77777777" w:rsidR="00AE0D13" w:rsidRPr="006E47B2" w:rsidRDefault="00AE0D13" w:rsidP="00AE0D13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1:</w:t>
            </w:r>
          </w:p>
        </w:tc>
        <w:tc>
          <w:tcPr>
            <w:tcW w:w="5883" w:type="dxa"/>
          </w:tcPr>
          <w:p w14:paraId="6959B3CA" w14:textId="77777777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6E47B2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Comparaison longitudinale du plan d’encouragement standardisé &gt; développement positif</w:t>
            </w:r>
          </w:p>
        </w:tc>
      </w:tr>
      <w:tr w:rsidR="00AE0D13" w:rsidRPr="006E47B2" w14:paraId="1435BB87" w14:textId="77777777" w:rsidTr="009A387A">
        <w:trPr>
          <w:cantSplit/>
        </w:trPr>
        <w:tc>
          <w:tcPr>
            <w:tcW w:w="3331" w:type="dxa"/>
          </w:tcPr>
          <w:p w14:paraId="62D931BB" w14:textId="77777777" w:rsidR="00AE0D13" w:rsidRPr="006E47B2" w:rsidRDefault="00AE0D13" w:rsidP="00AE0D13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83" w:type="dxa"/>
          </w:tcPr>
          <w:p w14:paraId="4155D0BD" w14:textId="6C552E17" w:rsidR="00AE0D13" w:rsidRPr="006E47B2" w:rsidRDefault="00AE0D13" w:rsidP="00AE0D13">
            <w:pPr>
              <w:keepNext/>
              <w:keepLines/>
              <w:spacing w:before="120" w:after="6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AE0D13" w:rsidRPr="00B2395F" w14:paraId="46AAA5A1" w14:textId="77777777" w:rsidTr="009A387A">
        <w:trPr>
          <w:cantSplit/>
        </w:trPr>
        <w:tc>
          <w:tcPr>
            <w:tcW w:w="3331" w:type="dxa"/>
          </w:tcPr>
          <w:p w14:paraId="6C67EDDA" w14:textId="77777777" w:rsidR="00AE0D13" w:rsidRPr="006E47B2" w:rsidRDefault="00AE0D13" w:rsidP="00AE0D13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Méthodologie et instruments </w:t>
            </w:r>
          </w:p>
          <w:p w14:paraId="7B5811B8" w14:textId="77777777" w:rsidR="00AE0D13" w:rsidRPr="006E47B2" w:rsidRDefault="00AE0D13" w:rsidP="00B2395F">
            <w:pPr>
              <w:tabs>
                <w:tab w:val="right" w:pos="14175"/>
              </w:tabs>
              <w:spacing w:before="100" w:after="100" w:line="28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  <w:tc>
          <w:tcPr>
            <w:tcW w:w="5883" w:type="dxa"/>
          </w:tcPr>
          <w:p w14:paraId="07B85BE9" w14:textId="1AD6166D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b/>
                <w:spacing w:val="0"/>
                <w:sz w:val="20"/>
                <w:szCs w:val="20"/>
                <w:highlight w:val="yellow"/>
                <w:lang w:val="fr-CH"/>
              </w:rPr>
            </w:pPr>
          </w:p>
        </w:tc>
      </w:tr>
      <w:tr w:rsidR="00AE0D13" w:rsidRPr="00152A5E" w14:paraId="698080ED" w14:textId="77777777" w:rsidTr="009A387A">
        <w:trPr>
          <w:cantSplit/>
        </w:trPr>
        <w:tc>
          <w:tcPr>
            <w:tcW w:w="3331" w:type="dxa"/>
            <w:shd w:val="clear" w:color="auto" w:fill="CCCCCC"/>
          </w:tcPr>
          <w:p w14:paraId="1BA0DCDE" w14:textId="77777777" w:rsidR="00AE0D13" w:rsidRPr="006E47B2" w:rsidRDefault="00AE0D13" w:rsidP="00AE0D13">
            <w:pPr>
              <w:tabs>
                <w:tab w:val="right" w:pos="14175"/>
              </w:tabs>
              <w:spacing w:before="20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lastRenderedPageBreak/>
              <w:t>Objectif 2 de la prestation:</w:t>
            </w:r>
          </w:p>
        </w:tc>
        <w:tc>
          <w:tcPr>
            <w:tcW w:w="5883" w:type="dxa"/>
            <w:shd w:val="clear" w:color="auto" w:fill="CCCCCC"/>
          </w:tcPr>
          <w:p w14:paraId="05460027" w14:textId="77777777" w:rsidR="00AE0D13" w:rsidRPr="006E47B2" w:rsidRDefault="00AE0D13" w:rsidP="00AE0D13">
            <w:pPr>
              <w:tabs>
                <w:tab w:val="right" w:pos="14175"/>
              </w:tabs>
              <w:spacing w:before="10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L’enfant / l’adolescent(e) entretient des relations avec sa famille d’origine et reçoit un soutien à cet égard. Sa famille d’origine est intégrée de manière appropriée à son processus de développement.</w:t>
            </w:r>
          </w:p>
        </w:tc>
      </w:tr>
      <w:tr w:rsidR="00AE0D13" w:rsidRPr="00B2395F" w14:paraId="502710D4" w14:textId="77777777" w:rsidTr="009A387A">
        <w:trPr>
          <w:cantSplit/>
        </w:trPr>
        <w:tc>
          <w:tcPr>
            <w:tcW w:w="3331" w:type="dxa"/>
          </w:tcPr>
          <w:p w14:paraId="01DEFD1C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2:</w:t>
            </w:r>
          </w:p>
        </w:tc>
        <w:tc>
          <w:tcPr>
            <w:tcW w:w="5883" w:type="dxa"/>
          </w:tcPr>
          <w:p w14:paraId="62A0DC0F" w14:textId="4864C5BD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highlight w:val="cyan"/>
                <w:lang w:val="fr-CH"/>
              </w:rPr>
            </w:pPr>
          </w:p>
        </w:tc>
      </w:tr>
      <w:tr w:rsidR="00AE0D13" w:rsidRPr="006E47B2" w14:paraId="716961B4" w14:textId="77777777" w:rsidTr="009A387A">
        <w:trPr>
          <w:cantSplit/>
        </w:trPr>
        <w:tc>
          <w:tcPr>
            <w:tcW w:w="3331" w:type="dxa"/>
          </w:tcPr>
          <w:p w14:paraId="05BD7CA5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83" w:type="dxa"/>
          </w:tcPr>
          <w:p w14:paraId="5163816F" w14:textId="5D02D09B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AE0D13" w:rsidRPr="00B2395F" w14:paraId="487E809C" w14:textId="77777777" w:rsidTr="009A387A">
        <w:trPr>
          <w:cantSplit/>
        </w:trPr>
        <w:tc>
          <w:tcPr>
            <w:tcW w:w="3331" w:type="dxa"/>
          </w:tcPr>
          <w:p w14:paraId="72D6232F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5883" w:type="dxa"/>
          </w:tcPr>
          <w:p w14:paraId="1C10B863" w14:textId="5009A831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highlight w:val="cyan"/>
                <w:lang w:val="fr-CH"/>
              </w:rPr>
            </w:pPr>
          </w:p>
        </w:tc>
      </w:tr>
    </w:tbl>
    <w:p w14:paraId="3818C7ED" w14:textId="77777777" w:rsidR="00AE0D13" w:rsidRPr="006E47B2" w:rsidRDefault="00AE0D13" w:rsidP="00AE0D13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AE0D13" w:rsidRPr="00152A5E" w14:paraId="6CB44C74" w14:textId="77777777" w:rsidTr="009A387A">
        <w:trPr>
          <w:cantSplit/>
        </w:trPr>
        <w:tc>
          <w:tcPr>
            <w:tcW w:w="3331" w:type="dxa"/>
            <w:shd w:val="clear" w:color="auto" w:fill="CCCCCC"/>
          </w:tcPr>
          <w:p w14:paraId="29BA8E1D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3 de la prestation:</w:t>
            </w:r>
          </w:p>
        </w:tc>
        <w:tc>
          <w:tcPr>
            <w:tcW w:w="5879" w:type="dxa"/>
            <w:shd w:val="clear" w:color="auto" w:fill="CCCCCC"/>
          </w:tcPr>
          <w:p w14:paraId="74EABF28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L’enfant / l’adolescent(e) peut organiser ses loisirs en fonction de ses intérêts et est intégré(e) socialement à son environnement.</w:t>
            </w:r>
          </w:p>
        </w:tc>
      </w:tr>
      <w:tr w:rsidR="00AE0D13" w:rsidRPr="00B2395F" w14:paraId="05A25474" w14:textId="77777777" w:rsidTr="009A387A">
        <w:trPr>
          <w:cantSplit/>
        </w:trPr>
        <w:tc>
          <w:tcPr>
            <w:tcW w:w="3331" w:type="dxa"/>
          </w:tcPr>
          <w:p w14:paraId="5BE5DFC5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3:</w:t>
            </w:r>
          </w:p>
        </w:tc>
        <w:tc>
          <w:tcPr>
            <w:tcW w:w="5879" w:type="dxa"/>
          </w:tcPr>
          <w:p w14:paraId="1CC67C7C" w14:textId="7800F5E3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AE0D13" w:rsidRPr="006E47B2" w14:paraId="33874204" w14:textId="77777777" w:rsidTr="009A387A">
        <w:trPr>
          <w:cantSplit/>
        </w:trPr>
        <w:tc>
          <w:tcPr>
            <w:tcW w:w="3331" w:type="dxa"/>
          </w:tcPr>
          <w:p w14:paraId="3F8E8A7B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79" w:type="dxa"/>
          </w:tcPr>
          <w:p w14:paraId="5A636E31" w14:textId="77777777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AE0D13" w:rsidRPr="006E47B2" w14:paraId="53E3692D" w14:textId="77777777" w:rsidTr="009A387A">
        <w:trPr>
          <w:cantSplit/>
        </w:trPr>
        <w:tc>
          <w:tcPr>
            <w:tcW w:w="3331" w:type="dxa"/>
          </w:tcPr>
          <w:p w14:paraId="66FC62BA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5879" w:type="dxa"/>
          </w:tcPr>
          <w:p w14:paraId="7B645A26" w14:textId="77777777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14:paraId="5646C979" w14:textId="77777777" w:rsidR="00AE0D13" w:rsidRPr="006E47B2" w:rsidRDefault="00AE0D13" w:rsidP="00AE0D13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AE0D13" w:rsidRPr="00152A5E" w14:paraId="4631A0FD" w14:textId="77777777" w:rsidTr="00B2395F">
        <w:trPr>
          <w:cantSplit/>
        </w:trPr>
        <w:tc>
          <w:tcPr>
            <w:tcW w:w="3331" w:type="dxa"/>
            <w:shd w:val="clear" w:color="auto" w:fill="CCCCCC"/>
          </w:tcPr>
          <w:p w14:paraId="08F75DA2" w14:textId="77777777" w:rsidR="00AE0D13" w:rsidRPr="006E47B2" w:rsidRDefault="00AE0D13" w:rsidP="00AE0D13">
            <w:pPr>
              <w:tabs>
                <w:tab w:val="right" w:pos="14175"/>
              </w:tabs>
              <w:spacing w:before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4 de la prestation:</w:t>
            </w:r>
          </w:p>
          <w:p w14:paraId="14CFCEDF" w14:textId="77777777" w:rsidR="00AE0D13" w:rsidRPr="006E47B2" w:rsidRDefault="00AE0D13" w:rsidP="00AE0D13">
            <w:pPr>
              <w:tabs>
                <w:tab w:val="right" w:pos="14175"/>
              </w:tabs>
              <w:spacing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(pas d’internat)</w:t>
            </w:r>
          </w:p>
        </w:tc>
        <w:tc>
          <w:tcPr>
            <w:tcW w:w="5883" w:type="dxa"/>
            <w:shd w:val="clear" w:color="auto" w:fill="CCCCCC"/>
          </w:tcPr>
          <w:p w14:paraId="033FEB46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L’enfant / l’adolescent(e) est accompagné(e) et soutenu(e) dans son évolution scolaire.</w:t>
            </w:r>
          </w:p>
        </w:tc>
      </w:tr>
      <w:tr w:rsidR="00AE0D13" w:rsidRPr="00152A5E" w14:paraId="26CB381B" w14:textId="77777777" w:rsidTr="00B2395F">
        <w:trPr>
          <w:cantSplit/>
        </w:trPr>
        <w:tc>
          <w:tcPr>
            <w:tcW w:w="9214" w:type="dxa"/>
            <w:gridSpan w:val="2"/>
          </w:tcPr>
          <w:p w14:paraId="78F9EB77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Cet objectif s’applique aux institutions dont les enfants (tous ou quelques-uns) fréquentent l’école publique.</w:t>
            </w:r>
          </w:p>
        </w:tc>
      </w:tr>
      <w:tr w:rsidR="00B2395F" w:rsidRPr="00B2395F" w14:paraId="3656E782" w14:textId="77777777" w:rsidTr="00B2395F">
        <w:trPr>
          <w:cantSplit/>
        </w:trPr>
        <w:tc>
          <w:tcPr>
            <w:tcW w:w="3331" w:type="dxa"/>
          </w:tcPr>
          <w:p w14:paraId="70D765C3" w14:textId="2413801B" w:rsidR="00B2395F" w:rsidRPr="006E47B2" w:rsidRDefault="00B2395F" w:rsidP="00A40107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4</w:t>
            </w: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:</w:t>
            </w:r>
          </w:p>
        </w:tc>
        <w:tc>
          <w:tcPr>
            <w:tcW w:w="5883" w:type="dxa"/>
          </w:tcPr>
          <w:p w14:paraId="1267E207" w14:textId="77777777" w:rsidR="00B2395F" w:rsidRPr="006E47B2" w:rsidRDefault="00B2395F" w:rsidP="00A40107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B2395F" w:rsidRPr="006E47B2" w14:paraId="7FFACA31" w14:textId="77777777" w:rsidTr="00B2395F">
        <w:trPr>
          <w:cantSplit/>
        </w:trPr>
        <w:tc>
          <w:tcPr>
            <w:tcW w:w="3331" w:type="dxa"/>
          </w:tcPr>
          <w:p w14:paraId="3EFC2C36" w14:textId="77777777" w:rsidR="00B2395F" w:rsidRPr="006E47B2" w:rsidRDefault="00B2395F" w:rsidP="00A40107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83" w:type="dxa"/>
          </w:tcPr>
          <w:p w14:paraId="6B38E01E" w14:textId="77777777" w:rsidR="00B2395F" w:rsidRPr="006E47B2" w:rsidRDefault="00B2395F" w:rsidP="00A40107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B2395F" w:rsidRPr="006E47B2" w14:paraId="56A55E68" w14:textId="77777777" w:rsidTr="00B2395F">
        <w:trPr>
          <w:cantSplit/>
        </w:trPr>
        <w:tc>
          <w:tcPr>
            <w:tcW w:w="3331" w:type="dxa"/>
          </w:tcPr>
          <w:p w14:paraId="532BBE33" w14:textId="77777777" w:rsidR="00B2395F" w:rsidRPr="006E47B2" w:rsidRDefault="00B2395F" w:rsidP="00A40107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5883" w:type="dxa"/>
          </w:tcPr>
          <w:p w14:paraId="502C82DE" w14:textId="77777777" w:rsidR="00B2395F" w:rsidRPr="006E47B2" w:rsidRDefault="00B2395F" w:rsidP="00A40107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14:paraId="0DC9E853" w14:textId="6AA11614" w:rsidR="00B2395F" w:rsidRDefault="00B2395F" w:rsidP="00AE0D13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79"/>
      </w:tblGrid>
      <w:tr w:rsidR="00AE0D13" w:rsidRPr="00152A5E" w14:paraId="32660174" w14:textId="77777777" w:rsidTr="009A387A">
        <w:trPr>
          <w:cantSplit/>
        </w:trPr>
        <w:tc>
          <w:tcPr>
            <w:tcW w:w="3331" w:type="dxa"/>
            <w:shd w:val="clear" w:color="auto" w:fill="CCCCCC"/>
          </w:tcPr>
          <w:p w14:paraId="15E27EBD" w14:textId="77777777" w:rsidR="00AE0D13" w:rsidRPr="006E47B2" w:rsidRDefault="00AE0D13" w:rsidP="00AE0D13">
            <w:pPr>
              <w:tabs>
                <w:tab w:val="right" w:pos="14175"/>
              </w:tabs>
              <w:spacing w:before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4a de la prestation:</w:t>
            </w:r>
          </w:p>
          <w:p w14:paraId="2D24D02F" w14:textId="77777777" w:rsidR="00AE0D13" w:rsidRPr="006E47B2" w:rsidRDefault="00AE0D13" w:rsidP="00AE0D13">
            <w:pPr>
              <w:tabs>
                <w:tab w:val="right" w:pos="14175"/>
              </w:tabs>
              <w:spacing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(internat)</w:t>
            </w:r>
          </w:p>
        </w:tc>
        <w:tc>
          <w:tcPr>
            <w:tcW w:w="5879" w:type="dxa"/>
            <w:shd w:val="clear" w:color="auto" w:fill="CCCCCC"/>
          </w:tcPr>
          <w:p w14:paraId="78536566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 plan d’encouragement de l’internat et le plan d’encouragement socio-pédagogique ont fait l’objet d’accords et sont harmonisés entre eux.</w:t>
            </w:r>
          </w:p>
        </w:tc>
      </w:tr>
      <w:tr w:rsidR="00AE0D13" w:rsidRPr="006E47B2" w14:paraId="04F92C40" w14:textId="77777777" w:rsidTr="009A387A">
        <w:trPr>
          <w:cantSplit/>
        </w:trPr>
        <w:tc>
          <w:tcPr>
            <w:tcW w:w="3331" w:type="dxa"/>
          </w:tcPr>
          <w:p w14:paraId="0E527B50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4a:</w:t>
            </w:r>
          </w:p>
        </w:tc>
        <w:tc>
          <w:tcPr>
            <w:tcW w:w="5879" w:type="dxa"/>
          </w:tcPr>
          <w:p w14:paraId="0D515A12" w14:textId="0C5EE95C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AE0D13" w:rsidRPr="006E47B2" w14:paraId="7F966A6C" w14:textId="77777777" w:rsidTr="009A387A">
        <w:trPr>
          <w:cantSplit/>
        </w:trPr>
        <w:tc>
          <w:tcPr>
            <w:tcW w:w="3331" w:type="dxa"/>
          </w:tcPr>
          <w:p w14:paraId="66234034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79" w:type="dxa"/>
          </w:tcPr>
          <w:p w14:paraId="71630A7E" w14:textId="302B1FA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AE0D13" w:rsidRPr="00B2395F" w14:paraId="622FFDFD" w14:textId="77777777" w:rsidTr="009A387A">
        <w:trPr>
          <w:cantSplit/>
        </w:trPr>
        <w:tc>
          <w:tcPr>
            <w:tcW w:w="3331" w:type="dxa"/>
          </w:tcPr>
          <w:p w14:paraId="487DABBE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5879" w:type="dxa"/>
          </w:tcPr>
          <w:p w14:paraId="18327144" w14:textId="016A0A1C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14:paraId="662FCD44" w14:textId="77777777" w:rsidR="00AE0D13" w:rsidRPr="006E47B2" w:rsidRDefault="00AE0D13" w:rsidP="00AE0D13">
      <w:pPr>
        <w:tabs>
          <w:tab w:val="right" w:pos="14175"/>
        </w:tabs>
        <w:spacing w:line="280" w:lineRule="atLeast"/>
        <w:rPr>
          <w:rFonts w:ascii="Arial" w:eastAsia="Arial" w:hAnsi="Arial" w:cs="Times New Roman"/>
          <w:bCs w:val="0"/>
          <w:spacing w:val="0"/>
          <w:sz w:val="20"/>
          <w:lang w:val="fr-CH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</w:tblGrid>
      <w:tr w:rsidR="00AE0D13" w:rsidRPr="00152A5E" w14:paraId="706EB597" w14:textId="77777777" w:rsidTr="00AE0D13">
        <w:trPr>
          <w:cantSplit/>
        </w:trPr>
        <w:tc>
          <w:tcPr>
            <w:tcW w:w="3331" w:type="dxa"/>
            <w:shd w:val="clear" w:color="auto" w:fill="CCCCCC"/>
          </w:tcPr>
          <w:p w14:paraId="52E29B4B" w14:textId="77777777" w:rsidR="00AE0D13" w:rsidRPr="006E47B2" w:rsidRDefault="00AE0D13" w:rsidP="00AE0D13">
            <w:pPr>
              <w:tabs>
                <w:tab w:val="right" w:pos="14175"/>
              </w:tabs>
              <w:spacing w:before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5 de la prestation:</w:t>
            </w:r>
          </w:p>
          <w:p w14:paraId="5A6C742C" w14:textId="114B8108" w:rsidR="00AE0D13" w:rsidRPr="006E47B2" w:rsidRDefault="00AE0D13" w:rsidP="00AE0D13">
            <w:pPr>
              <w:tabs>
                <w:tab w:val="right" w:pos="14175"/>
              </w:tabs>
              <w:spacing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(</w:t>
            </w:r>
            <w:r w:rsidR="00152A5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objectif </w:t>
            </w:r>
            <w:r w:rsidR="00152A5E" w:rsidRPr="00152A5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additionnel</w:t>
            </w: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)</w:t>
            </w:r>
          </w:p>
        </w:tc>
        <w:tc>
          <w:tcPr>
            <w:tcW w:w="5883" w:type="dxa"/>
            <w:shd w:val="clear" w:color="auto" w:fill="CCCCCC"/>
          </w:tcPr>
          <w:p w14:paraId="0DB1935B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L’adolescent(e) bénéficie d’un suivi et d’un soutien pendant sa formation professionnelle de base. </w:t>
            </w:r>
          </w:p>
        </w:tc>
      </w:tr>
      <w:tr w:rsidR="00AE0D13" w:rsidRPr="006E47B2" w14:paraId="52BBC1C8" w14:textId="77777777" w:rsidTr="00AE0D13">
        <w:trPr>
          <w:cantSplit/>
        </w:trPr>
        <w:tc>
          <w:tcPr>
            <w:tcW w:w="3331" w:type="dxa"/>
          </w:tcPr>
          <w:p w14:paraId="62395026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5:</w:t>
            </w:r>
          </w:p>
        </w:tc>
        <w:tc>
          <w:tcPr>
            <w:tcW w:w="5883" w:type="dxa"/>
          </w:tcPr>
          <w:p w14:paraId="4BC4AA08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</w:p>
        </w:tc>
      </w:tr>
      <w:tr w:rsidR="00AE0D13" w:rsidRPr="006E47B2" w14:paraId="4E384A40" w14:textId="77777777" w:rsidTr="00AE0D13">
        <w:trPr>
          <w:cantSplit/>
        </w:trPr>
        <w:tc>
          <w:tcPr>
            <w:tcW w:w="3331" w:type="dxa"/>
          </w:tcPr>
          <w:p w14:paraId="0805FD70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83" w:type="dxa"/>
          </w:tcPr>
          <w:p w14:paraId="68D854C0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</w:tr>
      <w:tr w:rsidR="00AE0D13" w:rsidRPr="006E47B2" w14:paraId="550D3860" w14:textId="77777777" w:rsidTr="00AE0D13">
        <w:trPr>
          <w:cantSplit/>
        </w:trPr>
        <w:tc>
          <w:tcPr>
            <w:tcW w:w="3331" w:type="dxa"/>
          </w:tcPr>
          <w:p w14:paraId="09884F31" w14:textId="77777777" w:rsidR="00AE0D13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  <w:p w14:paraId="608566CB" w14:textId="1E7F024F" w:rsidR="00B2395F" w:rsidRPr="006E47B2" w:rsidRDefault="00B2395F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</w:p>
        </w:tc>
        <w:tc>
          <w:tcPr>
            <w:tcW w:w="5883" w:type="dxa"/>
          </w:tcPr>
          <w:p w14:paraId="485A8E2D" w14:textId="77777777" w:rsidR="00AE0D13" w:rsidRPr="006E47B2" w:rsidRDefault="00AE0D13" w:rsidP="00AE0D13">
            <w:pPr>
              <w:spacing w:after="220" w:line="280" w:lineRule="atLeast"/>
              <w:rPr>
                <w:rFonts w:ascii="Arial" w:eastAsia="Arial" w:hAnsi="Arial" w:cs="Times New Roman"/>
                <w:bCs w:val="0"/>
                <w:spacing w:val="0"/>
                <w:sz w:val="22"/>
                <w:lang w:val="fr-CH"/>
              </w:rPr>
            </w:pPr>
          </w:p>
        </w:tc>
      </w:tr>
      <w:tr w:rsidR="00AE0D13" w:rsidRPr="00152A5E" w14:paraId="5D9F3E30" w14:textId="77777777" w:rsidTr="00AE0D13">
        <w:trPr>
          <w:cantSplit/>
        </w:trPr>
        <w:tc>
          <w:tcPr>
            <w:tcW w:w="3331" w:type="dxa"/>
            <w:shd w:val="clear" w:color="auto" w:fill="CCCCCC"/>
          </w:tcPr>
          <w:p w14:paraId="7738A785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lastRenderedPageBreak/>
              <w:t>Objectif 6 de la prestation:</w:t>
            </w:r>
          </w:p>
        </w:tc>
        <w:tc>
          <w:tcPr>
            <w:tcW w:w="5883" w:type="dxa"/>
            <w:shd w:val="clear" w:color="auto" w:fill="CCCCCC"/>
          </w:tcPr>
          <w:p w14:paraId="537F81B1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Après sa sortie de l’institution, l’enfant / l’adolescent(e) est intégré(e) à un environnement structuré.</w:t>
            </w:r>
          </w:p>
        </w:tc>
      </w:tr>
      <w:tr w:rsidR="00AE0D13" w:rsidRPr="00152A5E" w14:paraId="54E5F024" w14:textId="77777777" w:rsidTr="00AE0D13">
        <w:trPr>
          <w:cantSplit/>
        </w:trPr>
        <w:tc>
          <w:tcPr>
            <w:tcW w:w="3331" w:type="dxa"/>
          </w:tcPr>
          <w:p w14:paraId="41219DF1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6:</w:t>
            </w:r>
          </w:p>
        </w:tc>
        <w:tc>
          <w:tcPr>
            <w:tcW w:w="5883" w:type="dxa"/>
          </w:tcPr>
          <w:p w14:paraId="41B4EC9C" w14:textId="77777777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  <w:r w:rsidRPr="006E47B2"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  <w:t>Solution subséquente portant sur l’hébergement et la formation ou l’intégration au monde du travail</w:t>
            </w:r>
          </w:p>
        </w:tc>
      </w:tr>
      <w:tr w:rsidR="00AE0D13" w:rsidRPr="00B2395F" w14:paraId="60E3C2EC" w14:textId="77777777" w:rsidTr="00AE0D13">
        <w:trPr>
          <w:cantSplit/>
        </w:trPr>
        <w:tc>
          <w:tcPr>
            <w:tcW w:w="3331" w:type="dxa"/>
          </w:tcPr>
          <w:p w14:paraId="143A7C42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83" w:type="dxa"/>
          </w:tcPr>
          <w:p w14:paraId="22BDA806" w14:textId="04B41467" w:rsidR="00AE0D13" w:rsidRPr="006E47B2" w:rsidRDefault="00AE0D13" w:rsidP="00AE0D13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AE0D13" w:rsidRPr="00B2395F" w14:paraId="182B68B1" w14:textId="77777777" w:rsidTr="00AE0D13">
        <w:trPr>
          <w:cantSplit/>
        </w:trPr>
        <w:tc>
          <w:tcPr>
            <w:tcW w:w="3331" w:type="dxa"/>
          </w:tcPr>
          <w:p w14:paraId="1CB9C249" w14:textId="77777777" w:rsidR="00AE0D13" w:rsidRPr="006E47B2" w:rsidRDefault="00AE0D13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5883" w:type="dxa"/>
          </w:tcPr>
          <w:p w14:paraId="66BDBDE8" w14:textId="77777777" w:rsidR="00AE0D13" w:rsidRPr="006E47B2" w:rsidRDefault="00AE0D13" w:rsidP="00AE0D13">
            <w:pPr>
              <w:spacing w:after="220" w:line="280" w:lineRule="atLeast"/>
              <w:rPr>
                <w:rFonts w:ascii="Arial" w:eastAsia="Arial" w:hAnsi="Arial" w:cs="Times New Roman"/>
                <w:bCs w:val="0"/>
                <w:spacing w:val="0"/>
                <w:sz w:val="22"/>
                <w:highlight w:val="cyan"/>
                <w:lang w:val="fr-CH"/>
              </w:rPr>
            </w:pPr>
          </w:p>
        </w:tc>
      </w:tr>
    </w:tbl>
    <w:p w14:paraId="545C07FF" w14:textId="4261A9A3" w:rsidR="00AE0D13" w:rsidRPr="006E47B2" w:rsidRDefault="00AE0D13">
      <w:pPr>
        <w:rPr>
          <w:lang w:val="fr-CH"/>
        </w:rPr>
      </w:pPr>
    </w:p>
    <w:tbl>
      <w:tblPr>
        <w:tblW w:w="9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3"/>
        <w:gridCol w:w="585"/>
      </w:tblGrid>
      <w:tr w:rsidR="00AE0D13" w:rsidRPr="00152A5E" w14:paraId="6EAEA6DD" w14:textId="77777777" w:rsidTr="000333DA">
        <w:trPr>
          <w:cantSplit/>
        </w:trPr>
        <w:tc>
          <w:tcPr>
            <w:tcW w:w="3331" w:type="dxa"/>
            <w:shd w:val="clear" w:color="auto" w:fill="CCCCCC"/>
          </w:tcPr>
          <w:p w14:paraId="69AB963B" w14:textId="669FB4EC" w:rsidR="00AE0D13" w:rsidRPr="006E47B2" w:rsidRDefault="00E65D22" w:rsidP="00AE0D13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Objectif z de la prestation</w:t>
            </w:r>
            <w:r w:rsidR="00AE0D13"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:</w:t>
            </w:r>
          </w:p>
          <w:p w14:paraId="76AF320B" w14:textId="2C60B6E8" w:rsidR="00AE0D13" w:rsidRPr="006E47B2" w:rsidRDefault="00AE0D13" w:rsidP="00E65D22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(</w:t>
            </w:r>
            <w:r w:rsidR="000333DA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o</w:t>
            </w:r>
            <w:r w:rsidR="00E65D22"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 xml:space="preserve">bjectif </w:t>
            </w:r>
            <w:r w:rsidR="00152A5E" w:rsidRPr="00152A5E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additionnel</w:t>
            </w: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)</w:t>
            </w:r>
          </w:p>
        </w:tc>
        <w:tc>
          <w:tcPr>
            <w:tcW w:w="6468" w:type="dxa"/>
            <w:gridSpan w:val="2"/>
            <w:shd w:val="clear" w:color="auto" w:fill="CCCCCC"/>
          </w:tcPr>
          <w:p w14:paraId="3A1FBD51" w14:textId="27AF2B38" w:rsidR="00AE0D13" w:rsidRPr="006E47B2" w:rsidRDefault="00EF7E9C" w:rsidP="006E47B2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Les adolescents bénéficient d’un suivi professionnel dans le logement où ils résident et peuvent s’adresser à tout moment à un/e spécialiste</w:t>
            </w:r>
            <w:r w:rsidR="00AE0D13"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.</w:t>
            </w:r>
          </w:p>
        </w:tc>
      </w:tr>
      <w:tr w:rsidR="00AE0D13" w:rsidRPr="00152A5E" w14:paraId="00A49B8B" w14:textId="77777777" w:rsidTr="000333DA">
        <w:trPr>
          <w:cantSplit/>
        </w:trPr>
        <w:tc>
          <w:tcPr>
            <w:tcW w:w="9799" w:type="dxa"/>
            <w:gridSpan w:val="3"/>
          </w:tcPr>
          <w:p w14:paraId="3D444F57" w14:textId="4B6E1895" w:rsidR="00AE0D13" w:rsidRPr="006E47B2" w:rsidRDefault="00EF7E9C" w:rsidP="006E47B2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 xml:space="preserve">Cet objectif est pertinent lorsque l’institution assure un suivi socio-pédagogique des adolescents </w:t>
            </w:r>
            <w:r w:rsidR="004075FF" w:rsidRPr="006E47B2">
              <w:rPr>
                <w:rFonts w:ascii="Arial" w:eastAsia="Arial" w:hAnsi="Arial" w:cs="Times New Roman"/>
                <w:bCs w:val="0"/>
                <w:spacing w:val="0"/>
                <w:sz w:val="20"/>
                <w:lang w:val="fr-CH"/>
              </w:rPr>
              <w:t>résidant dans des logements indépendants dans le cadre du placement résidentiel.</w:t>
            </w:r>
          </w:p>
        </w:tc>
      </w:tr>
      <w:tr w:rsidR="000333DA" w:rsidRPr="000333DA" w14:paraId="6AA6B352" w14:textId="77777777" w:rsidTr="000333DA">
        <w:trPr>
          <w:gridAfter w:val="1"/>
          <w:wAfter w:w="585" w:type="dxa"/>
          <w:cantSplit/>
        </w:trPr>
        <w:tc>
          <w:tcPr>
            <w:tcW w:w="3331" w:type="dxa"/>
          </w:tcPr>
          <w:p w14:paraId="44BC2D1B" w14:textId="560E0AFE" w:rsidR="000333DA" w:rsidRPr="006E47B2" w:rsidRDefault="000333DA" w:rsidP="000333DA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Indicateur 1 pour l’objectif z</w:t>
            </w:r>
          </w:p>
        </w:tc>
        <w:tc>
          <w:tcPr>
            <w:tcW w:w="5883" w:type="dxa"/>
          </w:tcPr>
          <w:p w14:paraId="021B4159" w14:textId="65B243CC" w:rsidR="000333DA" w:rsidRPr="006E47B2" w:rsidRDefault="000333DA" w:rsidP="00DA2F31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0333DA" w:rsidRPr="000333DA" w14:paraId="7897FFCD" w14:textId="77777777" w:rsidTr="000333DA">
        <w:trPr>
          <w:gridAfter w:val="1"/>
          <w:wAfter w:w="585" w:type="dxa"/>
          <w:cantSplit/>
        </w:trPr>
        <w:tc>
          <w:tcPr>
            <w:tcW w:w="3331" w:type="dxa"/>
          </w:tcPr>
          <w:p w14:paraId="183A2F47" w14:textId="77777777" w:rsidR="000333DA" w:rsidRPr="006E47B2" w:rsidRDefault="000333DA" w:rsidP="00DA2F31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Standard pour l’indicateur 1:</w:t>
            </w:r>
          </w:p>
        </w:tc>
        <w:tc>
          <w:tcPr>
            <w:tcW w:w="5883" w:type="dxa"/>
          </w:tcPr>
          <w:p w14:paraId="0B348326" w14:textId="02DFC593" w:rsidR="000333DA" w:rsidRPr="006E47B2" w:rsidRDefault="000333DA" w:rsidP="00DA2F31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  <w:tr w:rsidR="000333DA" w:rsidRPr="000333DA" w14:paraId="4DBB1195" w14:textId="77777777" w:rsidTr="000333DA">
        <w:trPr>
          <w:gridAfter w:val="1"/>
          <w:wAfter w:w="585" w:type="dxa"/>
          <w:cantSplit/>
        </w:trPr>
        <w:tc>
          <w:tcPr>
            <w:tcW w:w="3331" w:type="dxa"/>
          </w:tcPr>
          <w:p w14:paraId="7A3D41BF" w14:textId="77777777" w:rsidR="000333DA" w:rsidRPr="006E47B2" w:rsidRDefault="000333DA" w:rsidP="00DA2F31">
            <w:pPr>
              <w:tabs>
                <w:tab w:val="right" w:pos="14175"/>
              </w:tabs>
              <w:spacing w:before="120" w:after="120" w:line="240" w:lineRule="atLeast"/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</w:pPr>
            <w:r w:rsidRPr="006E47B2">
              <w:rPr>
                <w:rFonts w:ascii="Arial" w:eastAsia="Arial" w:hAnsi="Arial" w:cs="Times New Roman"/>
                <w:b/>
                <w:bCs w:val="0"/>
                <w:spacing w:val="0"/>
                <w:sz w:val="20"/>
                <w:lang w:val="fr-CH"/>
              </w:rPr>
              <w:t>Méthodologie et instruments</w:t>
            </w:r>
          </w:p>
        </w:tc>
        <w:tc>
          <w:tcPr>
            <w:tcW w:w="5883" w:type="dxa"/>
          </w:tcPr>
          <w:p w14:paraId="589B027B" w14:textId="5DAB516C" w:rsidR="000333DA" w:rsidRPr="000333DA" w:rsidRDefault="000333DA" w:rsidP="000333DA">
            <w:pPr>
              <w:keepNext/>
              <w:keepLines/>
              <w:spacing w:before="120" w:after="120" w:line="240" w:lineRule="atLeast"/>
              <w:outlineLvl w:val="1"/>
              <w:rPr>
                <w:rFonts w:ascii="Arial" w:eastAsia="Times New Roman" w:hAnsi="Arial" w:cs="Times New Roman"/>
                <w:spacing w:val="0"/>
                <w:sz w:val="20"/>
                <w:szCs w:val="26"/>
                <w:lang w:val="fr-CH"/>
              </w:rPr>
            </w:pPr>
          </w:p>
        </w:tc>
      </w:tr>
    </w:tbl>
    <w:p w14:paraId="7BFEA24C" w14:textId="0E4D6980" w:rsidR="00AA0E6D" w:rsidRPr="006A1570" w:rsidRDefault="006A1570" w:rsidP="000333DA">
      <w:pPr>
        <w:spacing w:before="480"/>
        <w:rPr>
          <w:i/>
          <w:lang w:val="fr-CH"/>
        </w:rPr>
      </w:pPr>
      <w:r>
        <w:rPr>
          <w:i/>
          <w:lang w:val="fr-CH"/>
        </w:rPr>
        <w:t>Version de mars 2020</w:t>
      </w:r>
    </w:p>
    <w:sectPr w:rsidR="00AA0E6D" w:rsidRPr="006A1570" w:rsidSect="0072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3F6B" w14:textId="77777777" w:rsidR="00AE0D13" w:rsidRDefault="00AE0D13" w:rsidP="00F91D37">
      <w:pPr>
        <w:spacing w:line="240" w:lineRule="auto"/>
      </w:pPr>
      <w:r>
        <w:separator/>
      </w:r>
    </w:p>
  </w:endnote>
  <w:endnote w:type="continuationSeparator" w:id="0">
    <w:p w14:paraId="0233107B" w14:textId="77777777" w:rsidR="00AE0D13" w:rsidRDefault="00AE0D13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5974" w14:textId="77777777" w:rsidR="00AE0D13" w:rsidRDefault="00AE0D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D9656" w14:textId="77777777" w:rsidR="00797FDE" w:rsidRPr="00BD4A9C" w:rsidRDefault="006E6B34" w:rsidP="00632704">
    <w:pPr>
      <w:pStyle w:val="Fuzeile"/>
    </w:pPr>
    <w:r>
      <w:rPr>
        <w:rFonts w:ascii="Arial" w:eastAsia="Arial" w:hAnsi="Arial"/>
        <w:vanish/>
        <w:color w:val="7D9AA8" w:themeColor="accent1" w:themeTint="99"/>
        <w:lang w:val="fr-CH"/>
      </w:rPr>
      <w:fldChar w:fldCharType="begin"/>
    </w:r>
    <w:r>
      <w:rPr>
        <w:rFonts w:ascii="Arial" w:eastAsia="Arial" w:hAnsi="Arial"/>
        <w:vanish/>
        <w:color w:val="7D9AA8" w:themeColor="accent1" w:themeTint="99"/>
        <w:lang w:val="fr-CH"/>
      </w:rPr>
      <w:instrText xml:space="preserve"> REF  Klassifizierung </w:instrTex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separate"/>
    </w:r>
    <w:r w:rsidR="00AE0D13" w:rsidRPr="00BC5092">
      <w:rPr>
        <w:rFonts w:ascii="Arial" w:eastAsia="Arial" w:hAnsi="Arial"/>
        <w:vanish/>
        <w:color w:val="7D9AA8" w:themeColor="accent1" w:themeTint="99"/>
        <w:lang w:val="fr-CH"/>
      </w:rPr>
      <w:t>Sélectionnez une classification</w: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0A242221" wp14:editId="273E00E4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5A04C" w14:textId="6FB61BAF"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E16B5" w:rsidRPr="00BE16B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E16B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4222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71C5A04C" w14:textId="6FB61BAF"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E16B5" w:rsidRPr="00BE16B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E16B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Klassifizierung"/>
  <w:p w14:paraId="1D514263" w14:textId="77777777" w:rsidR="00797FDE" w:rsidRPr="00BC5092" w:rsidRDefault="00BE16B5" w:rsidP="00BC5092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sdt>
      <w:sdtPr>
        <w:rPr>
          <w:rFonts w:ascii="Arial" w:eastAsia="Arial" w:hAnsi="Arial"/>
          <w:sz w:val="13"/>
          <w:szCs w:val="13"/>
        </w:rPr>
        <w:alias w:val="Klassifzierung"/>
        <w:tag w:val="Klassifzierung"/>
        <w:id w:val="903420254"/>
        <w:showingPlcHdr/>
        <w:comboBox>
          <w:listItem w:displayText="   " w:value="   "/>
          <w:listItem w:displayText="Classification: interne" w:value="Classification: interne"/>
          <w:listItem w:displayText="Classification: confidentiel" w:value="Classification: confidentiel"/>
          <w:listItem w:displayText="Classification: secret" w:value="Classification: secret"/>
        </w:comboBox>
      </w:sdtPr>
      <w:sdtEndPr/>
      <w:sdtContent>
        <w:r w:rsidR="00BC5092" w:rsidRPr="00BC5092">
          <w:rPr>
            <w:rFonts w:ascii="Arial" w:eastAsia="Arial" w:hAnsi="Arial"/>
            <w:vanish/>
            <w:color w:val="7D9AA8" w:themeColor="accent1" w:themeTint="99"/>
            <w:sz w:val="13"/>
            <w:szCs w:val="13"/>
            <w:lang w:val="fr-CH"/>
          </w:rPr>
          <w:t>Sélectionnez une classification</w:t>
        </w:r>
        <w:bookmarkEnd w:id="1"/>
      </w:sdtContent>
    </w:sdt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6BB724C6" wp14:editId="6C0ABBD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F1B09" w14:textId="12B1C904"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E16B5" w:rsidRPr="00BE16B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E16B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724C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2C6F1B09" w14:textId="12B1C904"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E16B5" w:rsidRPr="00BE16B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E16B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A017C" w14:textId="77777777" w:rsidR="00AE0D13" w:rsidRDefault="00AE0D13" w:rsidP="00F91D37">
      <w:pPr>
        <w:spacing w:line="240" w:lineRule="auto"/>
      </w:pPr>
    </w:p>
    <w:p w14:paraId="15A7B436" w14:textId="77777777" w:rsidR="00AE0D13" w:rsidRDefault="00AE0D13" w:rsidP="00F91D37">
      <w:pPr>
        <w:spacing w:line="240" w:lineRule="auto"/>
      </w:pPr>
    </w:p>
  </w:footnote>
  <w:footnote w:type="continuationSeparator" w:id="0">
    <w:p w14:paraId="268C83A8" w14:textId="77777777" w:rsidR="00AE0D13" w:rsidRDefault="00AE0D13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AEE04" w14:textId="1EC94C54" w:rsidR="00AE0D13" w:rsidRDefault="00AE0D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06CAA" w:rsidRPr="00832D99" w14:paraId="756D5C09" w14:textId="77777777" w:rsidTr="00EF7C56">
      <w:tc>
        <w:tcPr>
          <w:tcW w:w="5100" w:type="dxa"/>
        </w:tcPr>
        <w:p w14:paraId="47D8C18E" w14:textId="77777777" w:rsidR="00B06CAA" w:rsidRPr="00D5069D" w:rsidRDefault="00B06CAA" w:rsidP="00B06CAA">
          <w:pPr>
            <w:pStyle w:val="Kopfzeile"/>
            <w:rPr>
              <w:color w:val="FFFFFF" w:themeColor="background1"/>
            </w:rPr>
          </w:pPr>
        </w:p>
        <w:p w14:paraId="618648FD" w14:textId="77777777" w:rsidR="00B06CAA" w:rsidRPr="00832D99" w:rsidRDefault="00B06CAA" w:rsidP="00B06CAA">
          <w:pPr>
            <w:pStyle w:val="Kopfzeile"/>
          </w:pPr>
        </w:p>
      </w:tc>
      <w:tc>
        <w:tcPr>
          <w:tcW w:w="4878" w:type="dxa"/>
        </w:tcPr>
        <w:p w14:paraId="77AAFB08" w14:textId="5048921D" w:rsidR="00B06CAA" w:rsidRPr="00832D99" w:rsidRDefault="00B06CAA" w:rsidP="00B06CAA">
          <w:pPr>
            <w:pStyle w:val="Kopfzeile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STYLEREF  Brieftitel  \* MERGEFORMAT </w:instrText>
          </w:r>
          <w:r>
            <w:rPr>
              <w:lang w:val="de-DE"/>
            </w:rPr>
            <w:fldChar w:fldCharType="separate"/>
          </w:r>
          <w:r w:rsidR="00BE16B5">
            <w:rPr>
              <w:lang w:val="de-DE"/>
            </w:rPr>
            <w:t>Prestation: encadrement socio-pédagogique et hébergement en milieu ouvert pour une longue période</w:t>
          </w:r>
          <w:r>
            <w:rPr>
              <w:lang w:val="de-DE"/>
            </w:rPr>
            <w:fldChar w:fldCharType="end"/>
          </w:r>
        </w:p>
      </w:tc>
    </w:tr>
  </w:tbl>
  <w:p w14:paraId="7F70C877" w14:textId="2B81EFCF" w:rsidR="00797FDE" w:rsidRPr="00B06CAA" w:rsidRDefault="00B06CAA" w:rsidP="00B06CAA">
    <w:pPr>
      <w:pStyle w:val="Kopfzeile"/>
    </w:pPr>
    <w:r w:rsidRPr="00B0249E">
      <w:drawing>
        <wp:anchor distT="0" distB="0" distL="114300" distR="114300" simplePos="0" relativeHeight="251679743" behindDoc="0" locked="1" layoutInCell="1" allowOverlap="1" wp14:anchorId="135EB19E" wp14:editId="32D0AA5B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C184" w14:textId="0C7C7CB8"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10B4E773" wp14:editId="071FD83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4"/>
  </w:num>
  <w:num w:numId="15">
    <w:abstractNumId w:val="23"/>
  </w:num>
  <w:num w:numId="16">
    <w:abstractNumId w:val="10"/>
  </w:num>
  <w:num w:numId="17">
    <w:abstractNumId w:val="1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  <w:docVar w:name="SourceLng" w:val="deu"/>
    <w:docVar w:name="TargetLng" w:val="fra"/>
    <w:docVar w:name="TermBases" w:val="LINGUA-PC_20191202"/>
    <w:docVar w:name="TermBaseURL" w:val="empty"/>
    <w:docVar w:name="TextBases" w:val="s3011iis001pg68.sta.be.ch\TextBase TMs\Canton de Berne\BELEX 2016 (LexWork)|s3011iis001pg68.sta.be.ch\TextBase TMs\Canton de Berne\BELEX_Historique|s3011iis001pg68.sta.be.ch\TextBase TMs\Canton de Berne\BSIG|s3011iis001pg68.sta.be.ch\TextBase TMs\Canton de Berne\Canton de Berne|s3011iis001pg68.sta.be.ch\TextBase TMs\Canton de Berne\ComBE|s3011iis001pg68.sta.be.ch\TextBase TMs\Canton de Berne\Conf_2019-12|s3011iis001pg68.sta.be.ch\TextBase TMs\Canton de Berne\Conf_2020-03|s3011iis001pg68.sta.be.ch\TextBase TMs\Canton de Berne\Dubious_Aliens|s3011iis001pg68.sta.be.ch\TextBase TMs\CHA\CHA_valide|s3011iis001pg68.sta.be.ch\TextBase TMs\DEEE\DEEE_valide|s3011iis001pg68.sta.be.ch\TextBase TMs\DIJ\DIJ_interne|s3011iis001pg68.sta.be.ch\TextBase TMs\DIJ\DIJ_temporaire|s3011iis001pg68.sta.be.ch\TextBase TMs\DIJ\DIJ_valide|s3011iis001pg68.sta.be.ch\TextBase TMs\DSE\DSE_valide|s3011iis001pg68.sta.be.ch\TextBase TMs\DSSI\DSSI_valide|s3011iis001pg68.sta.be.ch\TextBase TMs\DTT\DTT_valide|s3011iis001pg68.sta.be.ch\TextBase TMs\ECO\ECO_valide|s3011iis001pg68.sta.be.ch\TextBase TMs\FIN SG\FIN-SG_valide|s3011iis001pg68.sta.be.ch\TextBase TMs\FIN-ICI\FIN-ICI_valide|s3011iis001pg68.sta.be.ch\TextBase TMs\INC\INC_valide|s3011iis001pg68.sta.be.ch\TextBase TMs\INS\INS_valide|s3011iis001pg68.sta.be.ch\TextBase TMs\JCE\JCE_interne|s3011iis001pg68.sta.be.ch\TextBase TMs\JCE\JCE_Temporaire|s3011iis001pg68.sta.be.ch\TextBase TMs\JCE\JCE_valide|s3011iis001pg68.sta.be.ch\TextBase TMs\JCE\kontenrahmen-v5|s3011iis001pg68.sta.be.ch\TextBase TMs\JCE\plancomptable|s3011iis001pg68.sta.be.ch\TextBase TMs\Police\Police_valide|s3011iis001pg68.sta.be.ch\TextBase TMs\POM\POM_valide|s3011iis001pg68.sta.be.ch\TextBase TMs\Processus cantonaux\Processus cantonaux 2017|s3011iis001pg68.sta.be.ch\TextBase TMs\Processus cantonaux\Processus cantonaux 2018|s3011iis001pg68.sta.be.ch\TextBase TMs\Processus cantonaux\Processus cantonaux 2019|s3011iis001pg68.sta.be.ch\TextBase TMs\SAP\SAP_valide|s3011iis001pg68.sta.be.ch\TextBase TMs\TTE\TTE_pour AGI|s3011iis001pg68.sta.be.ch\TextBase TMs\TTE\TTE_valide"/>
    <w:docVar w:name="TextBaseURL" w:val="empty"/>
    <w:docVar w:name="UILng" w:val="fr"/>
  </w:docVars>
  <w:rsids>
    <w:rsidRoot w:val="00AE0D13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333DA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75AB"/>
    <w:rsid w:val="00140075"/>
    <w:rsid w:val="00140272"/>
    <w:rsid w:val="001407C6"/>
    <w:rsid w:val="00144122"/>
    <w:rsid w:val="001471AF"/>
    <w:rsid w:val="00152A5E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B64DA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8546A"/>
    <w:rsid w:val="00290E37"/>
    <w:rsid w:val="0029375B"/>
    <w:rsid w:val="002941D2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075FF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1570"/>
    <w:rsid w:val="006B1C28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47B2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164D"/>
    <w:rsid w:val="00794A0C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A4E61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4EB1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0D13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2395F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266F"/>
    <w:rsid w:val="00BC3E90"/>
    <w:rsid w:val="00BC5092"/>
    <w:rsid w:val="00BC655F"/>
    <w:rsid w:val="00BD3717"/>
    <w:rsid w:val="00BD4A9C"/>
    <w:rsid w:val="00BE16B5"/>
    <w:rsid w:val="00BE1E62"/>
    <w:rsid w:val="00BF7052"/>
    <w:rsid w:val="00C034B4"/>
    <w:rsid w:val="00C05FAB"/>
    <w:rsid w:val="00C133DD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5D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1CF8"/>
    <w:rsid w:val="00E52BA4"/>
    <w:rsid w:val="00E530CC"/>
    <w:rsid w:val="00E5368D"/>
    <w:rsid w:val="00E61256"/>
    <w:rsid w:val="00E62D12"/>
    <w:rsid w:val="00E65BF8"/>
    <w:rsid w:val="00E65D22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EF7E9C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1C60FE4"/>
  <w15:docId w15:val="{6C8B305C-602E-4CFC-BD80-507BDAC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395F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D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D13"/>
    <w:pPr>
      <w:spacing w:after="220" w:line="240" w:lineRule="auto"/>
    </w:pPr>
    <w:rPr>
      <w:rFonts w:ascii="Arial" w:hAnsi="Arial" w:cs="Times New Roman"/>
      <w:bCs w:val="0"/>
      <w:spacing w:val="0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D13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164D"/>
    <w:pPr>
      <w:spacing w:after="0"/>
    </w:pPr>
    <w:rPr>
      <w:rFonts w:asciiTheme="minorHAnsi" w:hAnsiTheme="minorHAnsi" w:cs="System"/>
      <w:b/>
      <w:bCs/>
      <w:spacing w:val="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164D"/>
    <w:rPr>
      <w:rFonts w:ascii="Arial" w:hAnsi="Arial"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BE8370B5D64C409197FE9DF3EB1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8D148-7152-4227-8805-893240746A1A}"/>
      </w:docPartPr>
      <w:docPartBody>
        <w:p w:rsidR="00506269" w:rsidRDefault="00506269">
          <w:pPr>
            <w:pStyle w:val="CDBE8370B5D64C409197FE9DF3EB1088"/>
          </w:pPr>
          <w:r w:rsidRPr="00783544">
            <w:rPr>
              <w:rStyle w:val="Platzhaltertext"/>
              <w:lang w:val="fr-CH"/>
            </w:rPr>
            <w:t>Objet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69"/>
    <w:rsid w:val="0050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vanish/>
      <w:color w:val="9CC2E5" w:themeColor="accent1" w:themeTint="99"/>
    </w:rPr>
  </w:style>
  <w:style w:type="paragraph" w:customStyle="1" w:styleId="2A9EA234E54246F5AC4F64DCC0906085">
    <w:name w:val="2A9EA234E54246F5AC4F64DCC0906085"/>
  </w:style>
  <w:style w:type="paragraph" w:customStyle="1" w:styleId="1A45C4283DE8499CBF3D7FB5A4EEB109">
    <w:name w:val="1A45C4283DE8499CBF3D7FB5A4EEB109"/>
  </w:style>
  <w:style w:type="paragraph" w:customStyle="1" w:styleId="23F41C5576664E6BA08E53CE83B42CF4">
    <w:name w:val="23F41C5576664E6BA08E53CE83B42CF4"/>
  </w:style>
  <w:style w:type="paragraph" w:customStyle="1" w:styleId="0810F377A19148C7A8CA15B3B762393D">
    <w:name w:val="0810F377A19148C7A8CA15B3B762393D"/>
  </w:style>
  <w:style w:type="paragraph" w:customStyle="1" w:styleId="CDBE8370B5D64C409197FE9DF3EB1088">
    <w:name w:val="CDBE8370B5D64C409197FE9DF3EB1088"/>
  </w:style>
  <w:style w:type="paragraph" w:customStyle="1" w:styleId="2406C1255C004496A659D461E5532DB9">
    <w:name w:val="2406C1255C004496A659D461E5532DB9"/>
  </w:style>
  <w:style w:type="paragraph" w:customStyle="1" w:styleId="4E953F17FC6A4449A6F3DA7182BE5C58">
    <w:name w:val="4E953F17FC6A4449A6F3DA7182BE5C58"/>
  </w:style>
  <w:style w:type="paragraph" w:customStyle="1" w:styleId="62668224B32C4969A22BF96012DA8A6C">
    <w:name w:val="62668224B32C4969A22BF96012DA8A6C"/>
  </w:style>
  <w:style w:type="paragraph" w:customStyle="1" w:styleId="A4C7F08546F9441CB806D38901A9D79E">
    <w:name w:val="A4C7F08546F9441CB806D38901A9D79E"/>
  </w:style>
  <w:style w:type="paragraph" w:customStyle="1" w:styleId="BBAD7BA370744516911AB8411BFC1348">
    <w:name w:val="BBAD7BA370744516911AB8411BFC1348"/>
  </w:style>
  <w:style w:type="paragraph" w:customStyle="1" w:styleId="AB46F7EFA056403C895170D25B01D4BE">
    <w:name w:val="AB46F7EFA056403C895170D25B01D4BE"/>
  </w:style>
  <w:style w:type="paragraph" w:customStyle="1" w:styleId="D13D963A47724A7C942859DFD3600F86">
    <w:name w:val="D13D963A47724A7C942859DFD3600F86"/>
  </w:style>
  <w:style w:type="paragraph" w:customStyle="1" w:styleId="0FB93309B88A431CB2BAF5EE2E1B24B3">
    <w:name w:val="0FB93309B88A431CB2BAF5EE2E1B24B3"/>
  </w:style>
  <w:style w:type="paragraph" w:customStyle="1" w:styleId="8B40F2EC9CE947B08F04F01F9D486ACC">
    <w:name w:val="8B40F2EC9CE947B08F04F01F9D486ACC"/>
  </w:style>
  <w:style w:type="paragraph" w:customStyle="1" w:styleId="E30346F16BE048CD9655167024672CF3">
    <w:name w:val="E30346F16BE048CD9655167024672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186C52B1-2318-4748-A26C-B1D68693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3419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Modèle du descriptif des prestations: encadrement socio-pédagogique et hébergement en milieu ouvert pour une longue période</vt:lpstr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du descriptif des prestations: encadrement socio-pédagogique et hébergement en milieu ouvert pour une longue période</dc:title>
  <dc:creator>om</dc:creator>
  <dc:description>numéro de document</dc:description>
  <cp:lastModifiedBy>Habegger Manuel, DIJ-KJA</cp:lastModifiedBy>
  <cp:revision>2</cp:revision>
  <cp:lastPrinted>2019-09-11T20:00:00Z</cp:lastPrinted>
  <dcterms:created xsi:type="dcterms:W3CDTF">2021-10-05T09:52:00Z</dcterms:created>
  <dcterms:modified xsi:type="dcterms:W3CDTF">2021-10-05T09:52:00Z</dcterms:modified>
</cp:coreProperties>
</file>