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129FD" w:rsidRPr="002941D2" w14:paraId="0514EEFF" w14:textId="77777777" w:rsidTr="0007095A">
        <w:trPr>
          <w:gridAfter w:val="1"/>
          <w:wAfter w:w="4876" w:type="dxa"/>
          <w:trHeight w:val="1219"/>
        </w:trPr>
        <w:tc>
          <w:tcPr>
            <w:tcW w:w="5102" w:type="dxa"/>
            <w:vMerge w:val="restart"/>
          </w:tcPr>
          <w:p w14:paraId="58A46E68" w14:textId="77777777" w:rsidR="008129FD" w:rsidRPr="00783544" w:rsidRDefault="008129FD" w:rsidP="0007095A">
            <w:pPr>
              <w:pStyle w:val="Texte85pt"/>
              <w:rPr>
                <w:lang w:val="fr-CH"/>
              </w:rPr>
            </w:pPr>
            <w:bookmarkStart w:id="0" w:name="_GoBack"/>
            <w:bookmarkEnd w:id="0"/>
            <w:r w:rsidRPr="00A54B88">
              <w:rPr>
                <w:lang w:val="fr-CH"/>
              </w:rPr>
              <w:t>Direction de l’intérieur et de la justice</w:t>
            </w:r>
          </w:p>
          <w:p w14:paraId="372C6E9D" w14:textId="77777777" w:rsidR="008129FD" w:rsidRPr="00783544" w:rsidRDefault="008129FD" w:rsidP="001B4DBF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Office des mineurs</w:t>
            </w:r>
          </w:p>
          <w:p w14:paraId="3E9C46EA" w14:textId="77777777" w:rsidR="008129FD" w:rsidRPr="00783544" w:rsidRDefault="008129FD" w:rsidP="001B4DBF">
            <w:pPr>
              <w:pStyle w:val="Texte85pt"/>
              <w:rPr>
                <w:lang w:val="fr-CH"/>
              </w:rPr>
            </w:pPr>
          </w:p>
          <w:p w14:paraId="0C595C99" w14:textId="77777777" w:rsidR="008129FD" w:rsidRDefault="008129FD" w:rsidP="0007095A">
            <w:pPr>
              <w:pStyle w:val="Texte8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Hallerstrasse</w:t>
            </w:r>
            <w:proofErr w:type="spellEnd"/>
            <w:r>
              <w:rPr>
                <w:lang w:val="fr-CH"/>
              </w:rPr>
              <w:t xml:space="preserve"> 5</w:t>
            </w:r>
          </w:p>
          <w:p w14:paraId="5B420809" w14:textId="77777777" w:rsidR="008129FD" w:rsidRPr="00783544" w:rsidRDefault="008129FD" w:rsidP="0007095A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Case postale</w:t>
            </w:r>
          </w:p>
          <w:p w14:paraId="0F3B32CA" w14:textId="77777777" w:rsidR="008129FD" w:rsidRPr="0028546A" w:rsidRDefault="008129FD" w:rsidP="0007095A">
            <w:pPr>
              <w:pStyle w:val="Texte85pt"/>
            </w:pPr>
            <w:r w:rsidRPr="0028546A">
              <w:t xml:space="preserve">3001 </w:t>
            </w:r>
            <w:proofErr w:type="spellStart"/>
            <w:r w:rsidRPr="0028546A">
              <w:t>Berne</w:t>
            </w:r>
            <w:proofErr w:type="spellEnd"/>
          </w:p>
          <w:p w14:paraId="6D1829F9" w14:textId="77777777" w:rsidR="008129FD" w:rsidRPr="0028546A" w:rsidRDefault="008129FD" w:rsidP="0007095A">
            <w:pPr>
              <w:pStyle w:val="Texte85pt"/>
            </w:pPr>
            <w:r w:rsidRPr="0028546A">
              <w:t>+41 31 633 76 33</w:t>
            </w:r>
          </w:p>
          <w:p w14:paraId="530F374F" w14:textId="77777777" w:rsidR="008129FD" w:rsidRPr="0028546A" w:rsidRDefault="008129FD" w:rsidP="0007095A">
            <w:pPr>
              <w:pStyle w:val="Texte85pt"/>
            </w:pPr>
            <w:r>
              <w:t>k</w:t>
            </w:r>
            <w:r w:rsidRPr="0028546A">
              <w:t>ja-bern@be.ch</w:t>
            </w:r>
          </w:p>
          <w:p w14:paraId="09C9A34D" w14:textId="77777777" w:rsidR="008129FD" w:rsidRPr="0028546A" w:rsidRDefault="008129FD" w:rsidP="0007095A">
            <w:pPr>
              <w:pStyle w:val="Texte85pt"/>
            </w:pPr>
            <w:r w:rsidRPr="0028546A">
              <w:t>www.be.ch/</w:t>
            </w:r>
            <w:r>
              <w:t>om</w:t>
            </w:r>
          </w:p>
          <w:p w14:paraId="178A6D09" w14:textId="77777777" w:rsidR="008129FD" w:rsidRPr="0028546A" w:rsidRDefault="008129FD" w:rsidP="0007095A">
            <w:pPr>
              <w:pStyle w:val="Texte85pt"/>
            </w:pPr>
          </w:p>
          <w:p w14:paraId="34859E41" w14:textId="77777777" w:rsidR="008129FD" w:rsidRPr="00E10385" w:rsidRDefault="008129FD" w:rsidP="008D57E8">
            <w:pPr>
              <w:pStyle w:val="Texte85pt"/>
            </w:pPr>
          </w:p>
        </w:tc>
      </w:tr>
      <w:tr w:rsidR="008129FD" w:rsidRPr="00783544" w14:paraId="0CE45C0F" w14:textId="77777777" w:rsidTr="0007095A">
        <w:trPr>
          <w:gridAfter w:val="1"/>
          <w:wAfter w:w="4876" w:type="dxa"/>
          <w:trHeight w:val="2194"/>
        </w:trPr>
        <w:tc>
          <w:tcPr>
            <w:tcW w:w="5102" w:type="dxa"/>
            <w:vMerge/>
          </w:tcPr>
          <w:p w14:paraId="0F2155C7" w14:textId="77777777" w:rsidR="008129FD" w:rsidRPr="008129FD" w:rsidRDefault="008129FD" w:rsidP="0007095A"/>
        </w:tc>
      </w:tr>
      <w:tr w:rsidR="00AA0E6D" w:rsidRPr="00783544" w14:paraId="1FAB5874" w14:textId="77777777" w:rsidTr="0007095A">
        <w:trPr>
          <w:trHeight w:val="283"/>
        </w:trPr>
        <w:tc>
          <w:tcPr>
            <w:tcW w:w="5102" w:type="dxa"/>
            <w:vMerge/>
          </w:tcPr>
          <w:p w14:paraId="2FAC57BC" w14:textId="77777777" w:rsidR="00AA0E6D" w:rsidRPr="008129FD" w:rsidRDefault="00AA0E6D" w:rsidP="0007095A"/>
        </w:tc>
        <w:tc>
          <w:tcPr>
            <w:tcW w:w="4876" w:type="dxa"/>
          </w:tcPr>
          <w:p w14:paraId="01AE8830" w14:textId="77777777" w:rsidR="00AA0E6D" w:rsidRPr="008129FD" w:rsidRDefault="00AA0E6D" w:rsidP="0007095A">
            <w:pPr>
              <w:pStyle w:val="Texte85pt"/>
            </w:pPr>
          </w:p>
        </w:tc>
      </w:tr>
    </w:tbl>
    <w:p w14:paraId="2492CB13" w14:textId="77777777" w:rsidR="00AA0E6D" w:rsidRPr="00783544" w:rsidRDefault="008F2A0F" w:rsidP="00011F5D">
      <w:pPr>
        <w:pStyle w:val="Brief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lang w:val="fr-CH"/>
        </w:rPr>
      </w:pPr>
      <w:sdt>
        <w:sdtPr>
          <w:rPr>
            <w:rFonts w:ascii="Arial" w:eastAsia="Arial" w:hAnsi="Arial" w:cs="Times New Roman"/>
            <w:bCs w:val="0"/>
            <w:spacing w:val="0"/>
            <w:sz w:val="26"/>
            <w:lang w:val="fr-CH"/>
          </w:rPr>
          <w:id w:val="1455761124"/>
          <w:placeholder>
            <w:docPart w:val="6782A051F2C0424ABEA93650707591B5"/>
          </w:placeholder>
          <w:text w:multiLine="1"/>
        </w:sdtPr>
        <w:sdtEndPr/>
        <w:sdtContent>
          <w:r w:rsidR="008129FD" w:rsidRPr="008129FD">
            <w:rPr>
              <w:rFonts w:ascii="Arial" w:eastAsia="Arial" w:hAnsi="Arial" w:cs="Times New Roman"/>
              <w:bCs w:val="0"/>
              <w:spacing w:val="0"/>
              <w:sz w:val="26"/>
              <w:lang w:val="fr-CH"/>
            </w:rPr>
            <w:t>Prestation: encadrement socio-pédagogique et hébergement</w:t>
          </w:r>
          <w:r w:rsidR="008129FD">
            <w:rPr>
              <w:rFonts w:ascii="Arial" w:eastAsia="Arial" w:hAnsi="Arial" w:cs="Times New Roman"/>
              <w:bCs w:val="0"/>
              <w:spacing w:val="0"/>
              <w:sz w:val="26"/>
              <w:lang w:val="fr-CH"/>
            </w:rPr>
            <w:t xml:space="preserve"> </w:t>
          </w:r>
          <w:r w:rsidR="008129FD" w:rsidRPr="008129FD">
            <w:rPr>
              <w:rFonts w:ascii="Arial" w:eastAsia="Arial" w:hAnsi="Arial" w:cs="Times New Roman"/>
              <w:bCs w:val="0"/>
              <w:spacing w:val="0"/>
              <w:sz w:val="26"/>
              <w:lang w:val="fr-CH"/>
            </w:rPr>
            <w:t>en milieu fermé</w:t>
          </w:r>
        </w:sdtContent>
      </w:sdt>
    </w:p>
    <w:p w14:paraId="4B41F30E" w14:textId="7AA6231A" w:rsidR="008129FD" w:rsidRDefault="008129FD" w:rsidP="008129FD">
      <w:pPr>
        <w:spacing w:after="220" w:line="280" w:lineRule="atLeast"/>
        <w:rPr>
          <w:rFonts w:ascii="Arial" w:eastAsia="Arial" w:hAnsi="Arial" w:cs="Times New Roman"/>
          <w:bCs w:val="0"/>
          <w:spacing w:val="0"/>
          <w:sz w:val="22"/>
          <w:lang w:val="fr-CH"/>
        </w:rPr>
      </w:pPr>
      <w:r w:rsidRPr="008129FD">
        <w:rPr>
          <w:rFonts w:ascii="Arial" w:eastAsia="Arial" w:hAnsi="Arial" w:cs="Times New Roman"/>
          <w:bCs w:val="0"/>
          <w:spacing w:val="0"/>
          <w:sz w:val="22"/>
          <w:lang w:val="fr-CH"/>
        </w:rPr>
        <w:t>Les placements dans des institutions fermées/semi-</w:t>
      </w:r>
      <w:r w:rsidR="0060302C">
        <w:rPr>
          <w:rFonts w:ascii="Arial" w:eastAsia="Arial" w:hAnsi="Arial" w:cs="Times New Roman"/>
          <w:bCs w:val="0"/>
          <w:spacing w:val="0"/>
          <w:sz w:val="22"/>
          <w:lang w:val="fr-CH"/>
        </w:rPr>
        <w:t>fermées</w:t>
      </w:r>
      <w:r w:rsidRPr="008129FD">
        <w:rPr>
          <w:rFonts w:ascii="Arial" w:eastAsia="Arial" w:hAnsi="Arial" w:cs="Times New Roman"/>
          <w:bCs w:val="0"/>
          <w:spacing w:val="0"/>
          <w:sz w:val="22"/>
          <w:lang w:val="fr-CH"/>
        </w:rPr>
        <w:t xml:space="preserve"> ou dans des sections de celles-ci ont lieu exclusivement dans des établissements reconnus par l’Office fédéral de la justice (OFJ). Dans le canton de Berne, il s’agit de la Fondation Viktoria à </w:t>
      </w:r>
      <w:proofErr w:type="spellStart"/>
      <w:r w:rsidRPr="008129FD">
        <w:rPr>
          <w:rFonts w:ascii="Arial" w:eastAsia="Arial" w:hAnsi="Arial" w:cs="Times New Roman"/>
          <w:bCs w:val="0"/>
          <w:spacing w:val="0"/>
          <w:sz w:val="22"/>
          <w:lang w:val="fr-CH"/>
        </w:rPr>
        <w:t>Richigen</w:t>
      </w:r>
      <w:proofErr w:type="spellEnd"/>
      <w:r w:rsidRPr="008129FD">
        <w:rPr>
          <w:rFonts w:ascii="Arial" w:eastAsia="Arial" w:hAnsi="Arial" w:cs="Times New Roman"/>
          <w:bCs w:val="0"/>
          <w:spacing w:val="0"/>
          <w:sz w:val="22"/>
          <w:lang w:val="fr-CH"/>
        </w:rPr>
        <w:t xml:space="preserve"> et du Foyer d’éducation </w:t>
      </w:r>
      <w:proofErr w:type="spellStart"/>
      <w:r w:rsidRPr="008129FD">
        <w:rPr>
          <w:rFonts w:ascii="Arial" w:eastAsia="Arial" w:hAnsi="Arial" w:cs="Times New Roman"/>
          <w:bCs w:val="0"/>
          <w:spacing w:val="0"/>
          <w:sz w:val="22"/>
          <w:lang w:val="fr-CH"/>
        </w:rPr>
        <w:t>Lory</w:t>
      </w:r>
      <w:proofErr w:type="spellEnd"/>
      <w:r w:rsidRPr="008129FD">
        <w:rPr>
          <w:rFonts w:ascii="Arial" w:eastAsia="Arial" w:hAnsi="Arial" w:cs="Times New Roman"/>
          <w:bCs w:val="0"/>
          <w:spacing w:val="0"/>
          <w:sz w:val="22"/>
          <w:lang w:val="fr-CH"/>
        </w:rPr>
        <w:t>. Des objectifs importants, comme ceux qui portent sur la protection de la personnalité, figurent dans les textes réglementaires et non dans les descriptifs de prestations.</w:t>
      </w:r>
    </w:p>
    <w:p w14:paraId="1AFEF473" w14:textId="77777777" w:rsidR="0005311A" w:rsidRPr="008129FD" w:rsidRDefault="0005311A" w:rsidP="0005311A">
      <w:pPr>
        <w:spacing w:line="280" w:lineRule="atLeast"/>
        <w:rPr>
          <w:rFonts w:ascii="Arial" w:eastAsia="Arial" w:hAnsi="Arial" w:cs="Times New Roman"/>
          <w:bCs w:val="0"/>
          <w:spacing w:val="0"/>
          <w:sz w:val="22"/>
          <w:lang w:val="fr-CH"/>
        </w:rPr>
      </w:pPr>
    </w:p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</w:tblGrid>
      <w:tr w:rsidR="008129FD" w:rsidRPr="008129FD" w14:paraId="50677672" w14:textId="77777777" w:rsidTr="007C56E7">
        <w:trPr>
          <w:cantSplit/>
        </w:trPr>
        <w:tc>
          <w:tcPr>
            <w:tcW w:w="3331" w:type="dxa"/>
          </w:tcPr>
          <w:p w14:paraId="3C16453D" w14:textId="77777777" w:rsidR="008129FD" w:rsidRPr="008129FD" w:rsidRDefault="008129FD" w:rsidP="008129FD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Catalogue de prestations: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173E" w14:textId="77777777" w:rsidR="008129FD" w:rsidRPr="008129FD" w:rsidRDefault="008129FD" w:rsidP="008129FD">
            <w:pPr>
              <w:tabs>
                <w:tab w:val="right" w:pos="14175"/>
              </w:tabs>
              <w:spacing w:before="100" w:after="100" w:line="280" w:lineRule="atLeast"/>
              <w:jc w:val="center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Prestation de type résidentiel</w:t>
            </w:r>
          </w:p>
        </w:tc>
      </w:tr>
    </w:tbl>
    <w:p w14:paraId="2C37D3D9" w14:textId="77777777" w:rsidR="008129FD" w:rsidRPr="008129FD" w:rsidRDefault="008129FD" w:rsidP="008129FD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</w:tblGrid>
      <w:tr w:rsidR="008129FD" w:rsidRPr="0060302C" w14:paraId="5564F01B" w14:textId="77777777" w:rsidTr="007C56E7">
        <w:trPr>
          <w:cantSplit/>
        </w:trPr>
        <w:tc>
          <w:tcPr>
            <w:tcW w:w="3331" w:type="dxa"/>
          </w:tcPr>
          <w:p w14:paraId="74C6FCE7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Descriptif de la prestation:</w:t>
            </w:r>
          </w:p>
        </w:tc>
        <w:tc>
          <w:tcPr>
            <w:tcW w:w="6468" w:type="dxa"/>
          </w:tcPr>
          <w:p w14:paraId="10E1184A" w14:textId="61DAB813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Les </w:t>
            </w:r>
            <w:r w:rsidR="0077609B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adolescent(e)</w:t>
            </w:r>
            <w:r w:rsidR="0077609B" w:rsidRPr="0077609B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s</w:t>
            </w: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résident pendant une période limitée dans une institution fermée/semi-</w:t>
            </w:r>
            <w:r w:rsidR="0060302C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fermée</w:t>
            </w: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ou dans une section de cette dernière. Ils sont pris en charge et encouragés dans le cadre de mesures </w:t>
            </w:r>
            <w:r w:rsidR="0077609B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socio-pédagogiques</w:t>
            </w:r>
            <w:r w:rsidRPr="0077609B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.</w:t>
            </w: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Une structure de jour est assurée. Une solution subséquente est préparée avec le service ayant estimé la mesure indiquée, avec la participation de </w:t>
            </w:r>
            <w:r w:rsidR="0077609B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l’adolescent</w:t>
            </w:r>
            <w:r w:rsidR="008A3626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(e)</w:t>
            </w: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concerné/e.</w:t>
            </w:r>
          </w:p>
          <w:p w14:paraId="266D97CA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i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Cs w:val="0"/>
                <w:i/>
                <w:spacing w:val="0"/>
                <w:sz w:val="20"/>
                <w:lang w:val="fr-CH"/>
              </w:rPr>
              <w:t>Informations supplémentaires propres à l’institution sur la période (durée du séjour), les offres spécifiques de prise en charge (p. ex. intervention de crise, mandat d’enquête) et les structures de jour particulières, renvoi aux programmes</w:t>
            </w:r>
          </w:p>
        </w:tc>
      </w:tr>
    </w:tbl>
    <w:p w14:paraId="1C5C1FD7" w14:textId="77777777" w:rsidR="008129FD" w:rsidRPr="008129FD" w:rsidRDefault="008129FD" w:rsidP="008129FD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</w:tblGrid>
      <w:tr w:rsidR="008129FD" w:rsidRPr="0060302C" w14:paraId="353FF36B" w14:textId="77777777" w:rsidTr="007C56E7">
        <w:trPr>
          <w:cantSplit/>
        </w:trPr>
        <w:tc>
          <w:tcPr>
            <w:tcW w:w="3331" w:type="dxa"/>
          </w:tcPr>
          <w:p w14:paraId="153E4164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Objectifs supérieurs:</w:t>
            </w:r>
          </w:p>
        </w:tc>
        <w:tc>
          <w:tcPr>
            <w:tcW w:w="6468" w:type="dxa"/>
          </w:tcPr>
          <w:p w14:paraId="105F5B58" w14:textId="4375B451" w:rsidR="008129FD" w:rsidRPr="008129FD" w:rsidRDefault="008129FD" w:rsidP="009C10F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En présence d’une indication ad hoc, </w:t>
            </w:r>
            <w:r w:rsidR="008A3626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l’adolescent(e)</w:t>
            </w:r>
            <w:r w:rsidRPr="008A3626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est admis</w:t>
            </w:r>
            <w:r w:rsidR="009C10FF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(</w:t>
            </w:r>
            <w:r w:rsidRPr="008A3626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e</w:t>
            </w:r>
            <w:r w:rsidR="009C10FF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)</w:t>
            </w:r>
            <w:r w:rsidRPr="008A3626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dans un cadre institutionnel protégé qui lui offre</w:t>
            </w: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l’encouragement nécessaire. Une stabilisation puis, par la suite, une solution subséquente en milieu ouvert est trouvée.</w:t>
            </w:r>
          </w:p>
        </w:tc>
      </w:tr>
    </w:tbl>
    <w:p w14:paraId="716A2F67" w14:textId="77777777" w:rsidR="008129FD" w:rsidRPr="008129FD" w:rsidRDefault="008129FD" w:rsidP="008129FD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9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82"/>
      </w:tblGrid>
      <w:tr w:rsidR="008129FD" w:rsidRPr="0060302C" w14:paraId="67EEB7CA" w14:textId="77777777" w:rsidTr="007C56E7">
        <w:trPr>
          <w:cantSplit/>
        </w:trPr>
        <w:tc>
          <w:tcPr>
            <w:tcW w:w="3331" w:type="dxa"/>
          </w:tcPr>
          <w:p w14:paraId="11A972F7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Destinataires de la prestation:</w:t>
            </w:r>
          </w:p>
        </w:tc>
        <w:tc>
          <w:tcPr>
            <w:tcW w:w="6482" w:type="dxa"/>
          </w:tcPr>
          <w:p w14:paraId="2CAC1A9D" w14:textId="095CF7EB" w:rsidR="008129FD" w:rsidRPr="008A3626" w:rsidRDefault="008A3626" w:rsidP="008129F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  <w:r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Les adolescent(e)s</w:t>
            </w:r>
            <w:r w:rsidR="008129FD" w:rsidRPr="008A3626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 qui, pour diverses raisons, ne peuvent temporairement plus vivre dans leur environnement d’origine (famille, institution) en milieu ouvert.</w:t>
            </w:r>
          </w:p>
          <w:p w14:paraId="64D55A1B" w14:textId="639346EE" w:rsidR="008129FD" w:rsidRPr="008A3626" w:rsidRDefault="008129FD" w:rsidP="008129F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  <w:lang w:val="fr-CH"/>
              </w:rPr>
            </w:pPr>
            <w:r w:rsidRPr="008A3626"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  <w:lang w:val="fr-CH"/>
              </w:rPr>
              <w:t>Indications, motif du placement, sexe, âge (âge minimal lors de l’admission, âge maximal lors de la sortie)</w:t>
            </w:r>
          </w:p>
        </w:tc>
      </w:tr>
    </w:tbl>
    <w:p w14:paraId="09424CCB" w14:textId="77777777" w:rsidR="00A957C1" w:rsidRPr="00A957C1" w:rsidRDefault="00A957C1" w:rsidP="00A957C1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p w14:paraId="4C0DB57F" w14:textId="62C0607B" w:rsidR="008129FD" w:rsidRPr="008129FD" w:rsidRDefault="008129FD" w:rsidP="008129FD">
      <w:pPr>
        <w:tabs>
          <w:tab w:val="right" w:pos="14175"/>
        </w:tabs>
        <w:spacing w:after="240" w:line="280" w:lineRule="atLeast"/>
        <w:rPr>
          <w:rFonts w:ascii="Arial" w:eastAsia="Arial" w:hAnsi="Arial" w:cs="Times New Roman"/>
          <w:bCs w:val="0"/>
          <w:i/>
          <w:spacing w:val="0"/>
          <w:sz w:val="20"/>
          <w:lang w:val="fr-CH"/>
        </w:rPr>
      </w:pPr>
      <w:r w:rsidRPr="008129FD">
        <w:rPr>
          <w:rFonts w:ascii="Arial" w:eastAsia="Arial" w:hAnsi="Arial" w:cs="Times New Roman"/>
          <w:bCs w:val="0"/>
          <w:i/>
          <w:spacing w:val="0"/>
          <w:sz w:val="20"/>
          <w:lang w:val="fr-CH"/>
        </w:rPr>
        <w:t>Plusieurs indicateurs et standards peuvent être fixés par objectif de prestation.</w:t>
      </w:r>
    </w:p>
    <w:tbl>
      <w:tblPr>
        <w:tblW w:w="9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82"/>
        <w:gridCol w:w="28"/>
      </w:tblGrid>
      <w:tr w:rsidR="008129FD" w:rsidRPr="0060302C" w14:paraId="6C6AD085" w14:textId="77777777" w:rsidTr="007C56E7">
        <w:trPr>
          <w:gridAfter w:val="1"/>
          <w:wAfter w:w="28" w:type="dxa"/>
          <w:cantSplit/>
        </w:trPr>
        <w:tc>
          <w:tcPr>
            <w:tcW w:w="3331" w:type="dxa"/>
            <w:shd w:val="clear" w:color="auto" w:fill="CCCCCC"/>
          </w:tcPr>
          <w:p w14:paraId="44F89F4E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lastRenderedPageBreak/>
              <w:t>Objectif 1 de la prestation:</w:t>
            </w:r>
          </w:p>
        </w:tc>
        <w:tc>
          <w:tcPr>
            <w:tcW w:w="6482" w:type="dxa"/>
            <w:shd w:val="clear" w:color="auto" w:fill="CCCCCC"/>
          </w:tcPr>
          <w:p w14:paraId="110448D5" w14:textId="62DA963C" w:rsidR="008129FD" w:rsidRPr="008129FD" w:rsidRDefault="008A3626" w:rsidP="0060302C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  <w:r w:rsidRPr="008A3626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L’adolescent(e)</w:t>
            </w:r>
            <w:r w:rsidR="008129FD" w:rsidRPr="008A3626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 acqui</w:t>
            </w:r>
            <w:r w:rsidR="009C10FF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ert</w:t>
            </w:r>
            <w:r w:rsidR="008129FD" w:rsidRPr="008A3626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 une forme de stabilité dans les domaines d’activité du quotidien et dans </w:t>
            </w:r>
            <w:r w:rsidRPr="008A3626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son</w:t>
            </w:r>
            <w:r w:rsidR="008129FD" w:rsidRPr="008A3626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 comportement social et peut mener une réflexion</w:t>
            </w:r>
            <w:r w:rsidR="008129FD" w:rsidRPr="008129FD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 sur </w:t>
            </w:r>
            <w:r w:rsidR="009C10FF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sa</w:t>
            </w:r>
            <w:r w:rsidR="008129FD" w:rsidRPr="008129FD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 situation personnelle et familiale, de telle manière qu’il soit possible de mettre un terme à </w:t>
            </w:r>
            <w:r w:rsidR="009C10FF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son</w:t>
            </w:r>
            <w:r w:rsidR="008129FD" w:rsidRPr="008129FD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 xml:space="preserve"> placement en milieu fermé/semi-</w:t>
            </w:r>
            <w:r w:rsidR="0060302C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fermé</w:t>
            </w:r>
            <w:r w:rsidR="008129FD" w:rsidRPr="008129FD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.</w:t>
            </w:r>
          </w:p>
        </w:tc>
      </w:tr>
      <w:tr w:rsidR="008129FD" w:rsidRPr="00B746B2" w14:paraId="33967FE8" w14:textId="77777777" w:rsidTr="007C56E7">
        <w:trPr>
          <w:cantSplit/>
        </w:trPr>
        <w:tc>
          <w:tcPr>
            <w:tcW w:w="3331" w:type="dxa"/>
          </w:tcPr>
          <w:p w14:paraId="58CE608C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1:</w:t>
            </w:r>
          </w:p>
        </w:tc>
        <w:tc>
          <w:tcPr>
            <w:tcW w:w="6510" w:type="dxa"/>
            <w:gridSpan w:val="2"/>
          </w:tcPr>
          <w:p w14:paraId="005AB9CC" w14:textId="38F277C2" w:rsidR="008129FD" w:rsidRPr="008129FD" w:rsidRDefault="008129FD" w:rsidP="008129F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highlight w:val="cyan"/>
                <w:lang w:val="fr-CH"/>
              </w:rPr>
            </w:pPr>
          </w:p>
        </w:tc>
      </w:tr>
      <w:tr w:rsidR="008129FD" w:rsidRPr="008129FD" w14:paraId="65D6F618" w14:textId="77777777" w:rsidTr="007C56E7">
        <w:trPr>
          <w:gridAfter w:val="1"/>
          <w:wAfter w:w="28" w:type="dxa"/>
          <w:cantSplit/>
        </w:trPr>
        <w:tc>
          <w:tcPr>
            <w:tcW w:w="3331" w:type="dxa"/>
          </w:tcPr>
          <w:p w14:paraId="2FB5B4FC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482" w:type="dxa"/>
          </w:tcPr>
          <w:p w14:paraId="68ECF745" w14:textId="77777777" w:rsidR="008129FD" w:rsidRPr="008129FD" w:rsidRDefault="008129FD" w:rsidP="008129FD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  <w:tr w:rsidR="008129FD" w:rsidRPr="00B746B2" w14:paraId="4C6FB2B6" w14:textId="77777777" w:rsidTr="007C56E7">
        <w:trPr>
          <w:gridAfter w:val="1"/>
          <w:wAfter w:w="28" w:type="dxa"/>
          <w:cantSplit/>
        </w:trPr>
        <w:tc>
          <w:tcPr>
            <w:tcW w:w="3331" w:type="dxa"/>
          </w:tcPr>
          <w:p w14:paraId="02ABE35E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6482" w:type="dxa"/>
          </w:tcPr>
          <w:p w14:paraId="173E4F2A" w14:textId="48E91628" w:rsidR="008129FD" w:rsidRPr="008129FD" w:rsidRDefault="008129FD" w:rsidP="008129F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highlight w:val="yellow"/>
                <w:lang w:val="fr-CH"/>
              </w:rPr>
            </w:pPr>
          </w:p>
        </w:tc>
      </w:tr>
    </w:tbl>
    <w:p w14:paraId="7427C04A" w14:textId="77777777" w:rsidR="008129FD" w:rsidRPr="008129FD" w:rsidRDefault="008129FD" w:rsidP="008129FD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98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96"/>
      </w:tblGrid>
      <w:tr w:rsidR="008129FD" w:rsidRPr="0060302C" w14:paraId="78390B19" w14:textId="77777777" w:rsidTr="007C56E7">
        <w:trPr>
          <w:cantSplit/>
        </w:trPr>
        <w:tc>
          <w:tcPr>
            <w:tcW w:w="3331" w:type="dxa"/>
            <w:shd w:val="clear" w:color="auto" w:fill="CCCCCC"/>
          </w:tcPr>
          <w:p w14:paraId="3408BE5C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2 de la prestation:</w:t>
            </w:r>
          </w:p>
        </w:tc>
        <w:tc>
          <w:tcPr>
            <w:tcW w:w="6496" w:type="dxa"/>
            <w:shd w:val="clear" w:color="auto" w:fill="CCCCCC"/>
          </w:tcPr>
          <w:p w14:paraId="4E7BA36A" w14:textId="5C39003C" w:rsidR="008129FD" w:rsidRPr="00E95F73" w:rsidRDefault="00E95F73" w:rsidP="009C10F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L’adolescent(e)</w:t>
            </w:r>
            <w:r w:rsidR="008129FD" w:rsidRP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fréquente une école, suit une formation et </w:t>
            </w:r>
            <w:r w:rsidRP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est</w:t>
            </w:r>
            <w:r w:rsidR="008129FD" w:rsidRP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intégré</w:t>
            </w:r>
            <w:r w:rsidRP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(e)</w:t>
            </w:r>
            <w:r w:rsidR="008129FD" w:rsidRP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dans la structure de jour.</w:t>
            </w:r>
          </w:p>
        </w:tc>
      </w:tr>
      <w:tr w:rsidR="008129FD" w:rsidRPr="00B746B2" w14:paraId="0144B47D" w14:textId="77777777" w:rsidTr="007C56E7">
        <w:trPr>
          <w:cantSplit/>
        </w:trPr>
        <w:tc>
          <w:tcPr>
            <w:tcW w:w="3331" w:type="dxa"/>
          </w:tcPr>
          <w:p w14:paraId="3F6BA602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2:</w:t>
            </w:r>
          </w:p>
        </w:tc>
        <w:tc>
          <w:tcPr>
            <w:tcW w:w="6496" w:type="dxa"/>
          </w:tcPr>
          <w:p w14:paraId="1FCC722C" w14:textId="47F906DD" w:rsidR="008129FD" w:rsidRPr="008129FD" w:rsidRDefault="008129FD" w:rsidP="008129F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8129FD" w:rsidRPr="008129FD" w14:paraId="77AAEFBB" w14:textId="77777777" w:rsidTr="007C56E7">
        <w:trPr>
          <w:cantSplit/>
        </w:trPr>
        <w:tc>
          <w:tcPr>
            <w:tcW w:w="3331" w:type="dxa"/>
          </w:tcPr>
          <w:p w14:paraId="43CCE338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496" w:type="dxa"/>
          </w:tcPr>
          <w:p w14:paraId="2635C3F2" w14:textId="37891E08" w:rsidR="008129FD" w:rsidRPr="008129FD" w:rsidRDefault="008129FD" w:rsidP="008129F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8129FD" w:rsidRPr="008129FD" w14:paraId="25D7ADBB" w14:textId="77777777" w:rsidTr="007C56E7">
        <w:trPr>
          <w:cantSplit/>
        </w:trPr>
        <w:tc>
          <w:tcPr>
            <w:tcW w:w="3331" w:type="dxa"/>
          </w:tcPr>
          <w:p w14:paraId="73BBCA72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6496" w:type="dxa"/>
          </w:tcPr>
          <w:p w14:paraId="06527ED0" w14:textId="2251F944" w:rsidR="008129FD" w:rsidRPr="008129FD" w:rsidRDefault="008129FD" w:rsidP="008129F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</w:tbl>
    <w:p w14:paraId="5E30B34D" w14:textId="77777777" w:rsidR="008129FD" w:rsidRPr="008129FD" w:rsidRDefault="008129FD" w:rsidP="008129FD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96"/>
        <w:gridCol w:w="24"/>
      </w:tblGrid>
      <w:tr w:rsidR="008129FD" w:rsidRPr="0060302C" w14:paraId="5FEAA8AA" w14:textId="77777777" w:rsidTr="007C56E7">
        <w:trPr>
          <w:gridAfter w:val="1"/>
          <w:wAfter w:w="24" w:type="dxa"/>
          <w:cantSplit/>
        </w:trPr>
        <w:tc>
          <w:tcPr>
            <w:tcW w:w="3331" w:type="dxa"/>
            <w:shd w:val="clear" w:color="auto" w:fill="CCCCCC"/>
          </w:tcPr>
          <w:p w14:paraId="0D5B7F0C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3 de la prestation:</w:t>
            </w:r>
          </w:p>
        </w:tc>
        <w:tc>
          <w:tcPr>
            <w:tcW w:w="6496" w:type="dxa"/>
            <w:shd w:val="clear" w:color="auto" w:fill="CCCCCC"/>
          </w:tcPr>
          <w:p w14:paraId="0A259C52" w14:textId="7CF74481" w:rsidR="008129FD" w:rsidRPr="008129FD" w:rsidRDefault="008129FD" w:rsidP="00E95F7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Les solutions subséquentes, situation scolaire ou professionnelle incluse, sont définies en collaboration étroite avec </w:t>
            </w:r>
            <w:r w:rsid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l’adolescent(e</w:t>
            </w:r>
            <w:r w:rsidR="00E95F73" w:rsidRP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)</w:t>
            </w:r>
            <w:r w:rsidRPr="00E95F73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.</w:t>
            </w:r>
          </w:p>
        </w:tc>
      </w:tr>
      <w:tr w:rsidR="008129FD" w:rsidRPr="00B746B2" w14:paraId="22A9284F" w14:textId="77777777" w:rsidTr="007C56E7">
        <w:trPr>
          <w:gridAfter w:val="1"/>
          <w:wAfter w:w="24" w:type="dxa"/>
          <w:cantSplit/>
        </w:trPr>
        <w:tc>
          <w:tcPr>
            <w:tcW w:w="3331" w:type="dxa"/>
          </w:tcPr>
          <w:p w14:paraId="48556869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3:</w:t>
            </w:r>
          </w:p>
        </w:tc>
        <w:tc>
          <w:tcPr>
            <w:tcW w:w="6496" w:type="dxa"/>
          </w:tcPr>
          <w:p w14:paraId="0F935824" w14:textId="6D68AC41" w:rsidR="008129FD" w:rsidRPr="008129FD" w:rsidRDefault="008129FD" w:rsidP="008129FD">
            <w:pPr>
              <w:spacing w:after="22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highlight w:val="cyan"/>
                <w:lang w:val="fr-CH"/>
              </w:rPr>
            </w:pPr>
          </w:p>
        </w:tc>
      </w:tr>
      <w:tr w:rsidR="008129FD" w:rsidRPr="008129FD" w14:paraId="7AF2CEA6" w14:textId="77777777" w:rsidTr="007C56E7">
        <w:trPr>
          <w:gridAfter w:val="1"/>
          <w:wAfter w:w="24" w:type="dxa"/>
          <w:cantSplit/>
        </w:trPr>
        <w:tc>
          <w:tcPr>
            <w:tcW w:w="3331" w:type="dxa"/>
          </w:tcPr>
          <w:p w14:paraId="4E7C2043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496" w:type="dxa"/>
          </w:tcPr>
          <w:p w14:paraId="0AEE81B6" w14:textId="63A518D8" w:rsidR="008129FD" w:rsidRPr="008129FD" w:rsidRDefault="008129FD" w:rsidP="008129F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8129FD" w:rsidRPr="00B746B2" w14:paraId="55537BAD" w14:textId="77777777" w:rsidTr="007C56E7">
        <w:trPr>
          <w:gridAfter w:val="1"/>
          <w:wAfter w:w="24" w:type="dxa"/>
          <w:cantSplit/>
        </w:trPr>
        <w:tc>
          <w:tcPr>
            <w:tcW w:w="3331" w:type="dxa"/>
          </w:tcPr>
          <w:p w14:paraId="55CA2ED1" w14:textId="77777777" w:rsid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Méthodologie et instruments </w:t>
            </w:r>
          </w:p>
          <w:p w14:paraId="4FEEA499" w14:textId="5CF8F48A" w:rsidR="00B746B2" w:rsidRPr="008129FD" w:rsidRDefault="00B746B2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</w:p>
        </w:tc>
        <w:tc>
          <w:tcPr>
            <w:tcW w:w="6496" w:type="dxa"/>
          </w:tcPr>
          <w:p w14:paraId="1640F714" w14:textId="77777777" w:rsidR="008129FD" w:rsidRPr="008129FD" w:rsidRDefault="008129FD" w:rsidP="008129FD">
            <w:pPr>
              <w:spacing w:after="220" w:line="28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fr-CH"/>
              </w:rPr>
            </w:pPr>
          </w:p>
        </w:tc>
      </w:tr>
      <w:tr w:rsidR="008129FD" w:rsidRPr="0060302C" w14:paraId="6F971619" w14:textId="77777777" w:rsidTr="007C56E7">
        <w:trPr>
          <w:cantSplit/>
        </w:trPr>
        <w:tc>
          <w:tcPr>
            <w:tcW w:w="3331" w:type="dxa"/>
            <w:shd w:val="clear" w:color="auto" w:fill="CCCCCC"/>
          </w:tcPr>
          <w:p w14:paraId="7EBC8BA3" w14:textId="77777777" w:rsidR="008129FD" w:rsidRPr="008129FD" w:rsidRDefault="008129FD" w:rsidP="008129FD">
            <w:pPr>
              <w:tabs>
                <w:tab w:val="right" w:pos="14175"/>
              </w:tabs>
              <w:spacing w:before="100" w:after="10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4 de la prestation:</w:t>
            </w:r>
          </w:p>
        </w:tc>
        <w:tc>
          <w:tcPr>
            <w:tcW w:w="6520" w:type="dxa"/>
            <w:gridSpan w:val="2"/>
            <w:shd w:val="clear" w:color="auto" w:fill="CCCCCC"/>
          </w:tcPr>
          <w:p w14:paraId="2245ECB8" w14:textId="77777777" w:rsidR="008129FD" w:rsidRPr="008129FD" w:rsidRDefault="008129FD" w:rsidP="008129FD">
            <w:pPr>
              <w:tabs>
                <w:tab w:val="right" w:pos="14175"/>
              </w:tabs>
              <w:spacing w:before="100" w:after="10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La famille d’origine est intégrée au processus évolutif et à la planification ultérieure.</w:t>
            </w:r>
          </w:p>
        </w:tc>
      </w:tr>
      <w:tr w:rsidR="008129FD" w:rsidRPr="008129FD" w14:paraId="263ECC7A" w14:textId="77777777" w:rsidTr="007C56E7">
        <w:trPr>
          <w:cantSplit/>
        </w:trPr>
        <w:tc>
          <w:tcPr>
            <w:tcW w:w="3331" w:type="dxa"/>
          </w:tcPr>
          <w:p w14:paraId="1237B352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4:</w:t>
            </w:r>
          </w:p>
        </w:tc>
        <w:tc>
          <w:tcPr>
            <w:tcW w:w="6520" w:type="dxa"/>
            <w:gridSpan w:val="2"/>
          </w:tcPr>
          <w:p w14:paraId="7DE71C8A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  <w:tr w:rsidR="008129FD" w:rsidRPr="008129FD" w14:paraId="27438D8D" w14:textId="77777777" w:rsidTr="007C56E7">
        <w:trPr>
          <w:cantSplit/>
        </w:trPr>
        <w:tc>
          <w:tcPr>
            <w:tcW w:w="3331" w:type="dxa"/>
          </w:tcPr>
          <w:p w14:paraId="52371EFD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520" w:type="dxa"/>
            <w:gridSpan w:val="2"/>
          </w:tcPr>
          <w:p w14:paraId="27ACB25E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  <w:tr w:rsidR="008129FD" w:rsidRPr="008129FD" w14:paraId="0ED7E3E3" w14:textId="77777777" w:rsidTr="007C56E7">
        <w:trPr>
          <w:cantSplit/>
        </w:trPr>
        <w:tc>
          <w:tcPr>
            <w:tcW w:w="3331" w:type="dxa"/>
          </w:tcPr>
          <w:p w14:paraId="659A260C" w14:textId="77777777" w:rsidR="008129FD" w:rsidRPr="008129FD" w:rsidRDefault="008129FD" w:rsidP="008129F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8129FD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6520" w:type="dxa"/>
            <w:gridSpan w:val="2"/>
          </w:tcPr>
          <w:p w14:paraId="65B293AB" w14:textId="77777777" w:rsidR="008129FD" w:rsidRPr="008129FD" w:rsidRDefault="008129FD" w:rsidP="008129FD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</w:tbl>
    <w:p w14:paraId="0EFDD7FF" w14:textId="057E8704" w:rsidR="00E8611A" w:rsidRPr="00E8611A" w:rsidRDefault="00E8611A" w:rsidP="001E25E2">
      <w:pPr>
        <w:spacing w:before="480" w:after="220" w:line="280" w:lineRule="atLeast"/>
        <w:rPr>
          <w:rFonts w:ascii="Arial" w:eastAsia="Arial" w:hAnsi="Arial" w:cs="Times New Roman"/>
          <w:bCs w:val="0"/>
          <w:i/>
          <w:spacing w:val="0"/>
          <w:sz w:val="22"/>
          <w:lang w:val="fr-CH"/>
        </w:rPr>
      </w:pPr>
    </w:p>
    <w:sectPr w:rsidR="00E8611A" w:rsidRPr="00E8611A" w:rsidSect="007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9272" w14:textId="77777777" w:rsidR="008129FD" w:rsidRDefault="008129FD" w:rsidP="00F91D37">
      <w:pPr>
        <w:spacing w:line="240" w:lineRule="auto"/>
      </w:pPr>
      <w:r>
        <w:separator/>
      </w:r>
    </w:p>
  </w:endnote>
  <w:endnote w:type="continuationSeparator" w:id="0">
    <w:p w14:paraId="6BA1F083" w14:textId="77777777" w:rsidR="008129FD" w:rsidRDefault="008129F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4B61" w14:textId="77777777" w:rsidR="00D2594A" w:rsidRDefault="00D259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E5B7" w14:textId="77777777" w:rsidR="00797FDE" w:rsidRPr="00BD4A9C" w:rsidRDefault="006E6B34" w:rsidP="00632704">
    <w:pPr>
      <w:pStyle w:val="Fuzeile"/>
    </w:pPr>
    <w:r>
      <w:rPr>
        <w:rFonts w:ascii="Arial" w:eastAsia="Arial" w:hAnsi="Arial"/>
        <w:vanish/>
        <w:color w:val="7D9AA8" w:themeColor="accent1" w:themeTint="99"/>
        <w:lang w:val="fr-CH"/>
      </w:rPr>
      <w:fldChar w:fldCharType="begin"/>
    </w:r>
    <w:r>
      <w:rPr>
        <w:rFonts w:ascii="Arial" w:eastAsia="Arial" w:hAnsi="Arial"/>
        <w:vanish/>
        <w:color w:val="7D9AA8" w:themeColor="accent1" w:themeTint="99"/>
        <w:lang w:val="fr-CH"/>
      </w:rPr>
      <w:instrText xml:space="preserve"> REF  Klassifizierung </w:instrTex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separate"/>
    </w:r>
    <w:r w:rsidR="008129FD" w:rsidRPr="00BC5092">
      <w:rPr>
        <w:rFonts w:ascii="Arial" w:eastAsia="Arial" w:hAnsi="Arial"/>
        <w:vanish/>
        <w:color w:val="7D9AA8" w:themeColor="accent1" w:themeTint="99"/>
        <w:lang w:val="fr-CH"/>
      </w:rPr>
      <w:t>Sélectionnez une classification</w: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544675F1" wp14:editId="2E277E1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49383" w14:textId="4DCCD2B2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2A0F" w:rsidRPr="008F2A0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2A0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75F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6D449383" w14:textId="4DCCD2B2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2A0F" w:rsidRPr="008F2A0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2A0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14:paraId="1CA68314" w14:textId="77777777" w:rsidR="00797FDE" w:rsidRPr="00BC5092" w:rsidRDefault="008F2A0F" w:rsidP="00BC5092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903420254"/>
        <w:showingPlcHdr/>
        <w:comboBox>
          <w:listItem w:displayText="   " w:value="   "/>
          <w:listItem w:displayText="Classification: interne" w:value="Classification: interne"/>
          <w:listItem w:displayText="Classification: confidentiel" w:value="Classification: confidentiel"/>
          <w:listItem w:displayText="Classification: secret" w:value="Classification: secret"/>
        </w:comboBox>
      </w:sdtPr>
      <w:sdtEndPr/>
      <w:sdtContent>
        <w:r w:rsidR="00BC5092" w:rsidRPr="00BC5092">
          <w:rPr>
            <w:rFonts w:ascii="Arial" w:eastAsia="Arial" w:hAnsi="Arial"/>
            <w:vanish/>
            <w:color w:val="7D9AA8" w:themeColor="accent1" w:themeTint="99"/>
            <w:sz w:val="13"/>
            <w:szCs w:val="13"/>
            <w:lang w:val="fr-CH"/>
          </w:rPr>
          <w:t>Sélectionnez une classification</w:t>
        </w:r>
        <w:bookmarkEnd w:id="1"/>
      </w:sdtContent>
    </w:sdt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781484F6" wp14:editId="463DC46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CBEF8" w14:textId="1DDBCC95"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2A0F" w:rsidRPr="008F2A0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2A0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484F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66DCBEF8" w14:textId="1DDBCC95"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2A0F" w:rsidRPr="008F2A0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2A0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7352" w14:textId="77777777" w:rsidR="008129FD" w:rsidRDefault="008129FD" w:rsidP="00F91D37">
      <w:pPr>
        <w:spacing w:line="240" w:lineRule="auto"/>
      </w:pPr>
    </w:p>
    <w:p w14:paraId="5F81E229" w14:textId="77777777" w:rsidR="008129FD" w:rsidRDefault="008129FD" w:rsidP="00F91D37">
      <w:pPr>
        <w:spacing w:line="240" w:lineRule="auto"/>
      </w:pPr>
    </w:p>
  </w:footnote>
  <w:footnote w:type="continuationSeparator" w:id="0">
    <w:p w14:paraId="4318E4A4" w14:textId="77777777" w:rsidR="008129FD" w:rsidRDefault="008129FD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6937" w14:textId="0C77C4AD" w:rsidR="007B315D" w:rsidRDefault="007B31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06CAA" w:rsidRPr="00832D99" w14:paraId="22788AB7" w14:textId="77777777" w:rsidTr="00EF7C56">
      <w:tc>
        <w:tcPr>
          <w:tcW w:w="5100" w:type="dxa"/>
        </w:tcPr>
        <w:p w14:paraId="6CAEBC99" w14:textId="77777777" w:rsidR="00B06CAA" w:rsidRPr="00D5069D" w:rsidRDefault="00B06CAA" w:rsidP="00B06CAA">
          <w:pPr>
            <w:pStyle w:val="Kopfzeile"/>
            <w:rPr>
              <w:color w:val="FFFFFF" w:themeColor="background1"/>
            </w:rPr>
          </w:pPr>
        </w:p>
        <w:p w14:paraId="06861B71" w14:textId="77777777" w:rsidR="00B06CAA" w:rsidRPr="00832D99" w:rsidRDefault="00B06CAA" w:rsidP="00B06CAA">
          <w:pPr>
            <w:pStyle w:val="Kopfzeile"/>
          </w:pPr>
        </w:p>
      </w:tc>
      <w:tc>
        <w:tcPr>
          <w:tcW w:w="4878" w:type="dxa"/>
        </w:tcPr>
        <w:p w14:paraId="61D77A37" w14:textId="5A33D7FA" w:rsidR="00B06CAA" w:rsidRPr="00832D99" w:rsidRDefault="00B06CAA" w:rsidP="00B06CAA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8F2A0F">
            <w:rPr>
              <w:lang w:val="de-DE"/>
            </w:rPr>
            <w:t>Prestation: encadrement socio-pédagogique et hébergement en milieu fermé</w:t>
          </w:r>
          <w:r>
            <w:rPr>
              <w:lang w:val="de-DE"/>
            </w:rPr>
            <w:fldChar w:fldCharType="end"/>
          </w:r>
        </w:p>
      </w:tc>
    </w:tr>
  </w:tbl>
  <w:p w14:paraId="056E5631" w14:textId="69C0DE83" w:rsidR="00797FDE" w:rsidRPr="00B06CAA" w:rsidRDefault="00B06CAA" w:rsidP="00B06CAA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2B417ABA" wp14:editId="0A0DF396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C038" w14:textId="481944F8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3C1CDC2C" wp14:editId="3A37571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7336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8129FD"/>
    <w:rsid w:val="00002978"/>
    <w:rsid w:val="0001010F"/>
    <w:rsid w:val="000116E1"/>
    <w:rsid w:val="000118C1"/>
    <w:rsid w:val="00011F5D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311A"/>
    <w:rsid w:val="00054BDC"/>
    <w:rsid w:val="000610F6"/>
    <w:rsid w:val="00061F5D"/>
    <w:rsid w:val="00063BC2"/>
    <w:rsid w:val="000701F1"/>
    <w:rsid w:val="0007095A"/>
    <w:rsid w:val="00071780"/>
    <w:rsid w:val="00076625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0A9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16CB"/>
    <w:rsid w:val="001A666F"/>
    <w:rsid w:val="001B166D"/>
    <w:rsid w:val="001B1F85"/>
    <w:rsid w:val="001B4DBF"/>
    <w:rsid w:val="001B5E85"/>
    <w:rsid w:val="001C4D4E"/>
    <w:rsid w:val="001E25E2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8546A"/>
    <w:rsid w:val="00290E37"/>
    <w:rsid w:val="0029375B"/>
    <w:rsid w:val="002941D2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9DD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1892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561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3EE5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5FE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07AD"/>
    <w:rsid w:val="005D161E"/>
    <w:rsid w:val="005D4FBB"/>
    <w:rsid w:val="005D682F"/>
    <w:rsid w:val="005E3592"/>
    <w:rsid w:val="005E46D2"/>
    <w:rsid w:val="005E74A9"/>
    <w:rsid w:val="005F60CA"/>
    <w:rsid w:val="005F64F0"/>
    <w:rsid w:val="006009F8"/>
    <w:rsid w:val="00602616"/>
    <w:rsid w:val="0060302C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43E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B7AE3"/>
    <w:rsid w:val="006C055A"/>
    <w:rsid w:val="006C144C"/>
    <w:rsid w:val="006C1669"/>
    <w:rsid w:val="006C1863"/>
    <w:rsid w:val="006E0F4E"/>
    <w:rsid w:val="006E354E"/>
    <w:rsid w:val="006E6B34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09B"/>
    <w:rsid w:val="00776FFA"/>
    <w:rsid w:val="00780035"/>
    <w:rsid w:val="00780308"/>
    <w:rsid w:val="00783544"/>
    <w:rsid w:val="00784279"/>
    <w:rsid w:val="00786EF3"/>
    <w:rsid w:val="00787D98"/>
    <w:rsid w:val="00790ED9"/>
    <w:rsid w:val="00794A0C"/>
    <w:rsid w:val="00796CEE"/>
    <w:rsid w:val="00797FDE"/>
    <w:rsid w:val="007A3524"/>
    <w:rsid w:val="007A6304"/>
    <w:rsid w:val="007B0A9B"/>
    <w:rsid w:val="007B0D94"/>
    <w:rsid w:val="007B2D50"/>
    <w:rsid w:val="007B315D"/>
    <w:rsid w:val="007C0B2A"/>
    <w:rsid w:val="007D06C7"/>
    <w:rsid w:val="007D6F53"/>
    <w:rsid w:val="007E0460"/>
    <w:rsid w:val="007E15F9"/>
    <w:rsid w:val="007E3459"/>
    <w:rsid w:val="007F0876"/>
    <w:rsid w:val="007F34B1"/>
    <w:rsid w:val="007F6C97"/>
    <w:rsid w:val="00801778"/>
    <w:rsid w:val="00807940"/>
    <w:rsid w:val="00810972"/>
    <w:rsid w:val="008129FD"/>
    <w:rsid w:val="00814BE6"/>
    <w:rsid w:val="00824CE1"/>
    <w:rsid w:val="00827ACA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2078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626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2A0F"/>
    <w:rsid w:val="008F6DB7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915"/>
    <w:rsid w:val="00935A5B"/>
    <w:rsid w:val="0093619F"/>
    <w:rsid w:val="009427E5"/>
    <w:rsid w:val="009454B7"/>
    <w:rsid w:val="00955032"/>
    <w:rsid w:val="009568A7"/>
    <w:rsid w:val="009613D8"/>
    <w:rsid w:val="00961618"/>
    <w:rsid w:val="0096225E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10FF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41AF"/>
    <w:rsid w:val="009F6AD9"/>
    <w:rsid w:val="00A02DA9"/>
    <w:rsid w:val="00A037AB"/>
    <w:rsid w:val="00A04CC5"/>
    <w:rsid w:val="00A06B9C"/>
    <w:rsid w:val="00A06F53"/>
    <w:rsid w:val="00A12B05"/>
    <w:rsid w:val="00A12E3A"/>
    <w:rsid w:val="00A15841"/>
    <w:rsid w:val="00A26A74"/>
    <w:rsid w:val="00A35A36"/>
    <w:rsid w:val="00A36ED7"/>
    <w:rsid w:val="00A4441C"/>
    <w:rsid w:val="00A45E6C"/>
    <w:rsid w:val="00A5451D"/>
    <w:rsid w:val="00A54B88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57C1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06CAA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4152"/>
    <w:rsid w:val="00B56332"/>
    <w:rsid w:val="00B70D03"/>
    <w:rsid w:val="00B71F06"/>
    <w:rsid w:val="00B746B2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5092"/>
    <w:rsid w:val="00BC655F"/>
    <w:rsid w:val="00BD3717"/>
    <w:rsid w:val="00BD4A9C"/>
    <w:rsid w:val="00BE1E62"/>
    <w:rsid w:val="00BF7052"/>
    <w:rsid w:val="00C034B4"/>
    <w:rsid w:val="00C05FAB"/>
    <w:rsid w:val="00C14A87"/>
    <w:rsid w:val="00C1704D"/>
    <w:rsid w:val="00C173B3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27FAA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2E"/>
    <w:rsid w:val="00C573A1"/>
    <w:rsid w:val="00C57571"/>
    <w:rsid w:val="00C613E9"/>
    <w:rsid w:val="00C72351"/>
    <w:rsid w:val="00C7482A"/>
    <w:rsid w:val="00C74920"/>
    <w:rsid w:val="00C75D29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2594A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2974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0385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8611A"/>
    <w:rsid w:val="00E90D03"/>
    <w:rsid w:val="00E949A8"/>
    <w:rsid w:val="00E95F73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EF6350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A51EE"/>
    <w:rsid w:val="00FA5E8F"/>
    <w:rsid w:val="00FB239D"/>
    <w:rsid w:val="00FB5828"/>
    <w:rsid w:val="00FB657F"/>
    <w:rsid w:val="00FB7DDF"/>
    <w:rsid w:val="00FC5023"/>
    <w:rsid w:val="00FD2271"/>
    <w:rsid w:val="00FD6290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51F474D"/>
  <w15:docId w15:val="{5F7880D8-2EE9-4D75-9771-C8441DFE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FE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Titre3numrot">
    <w:name w:val="Titre 3 (numéroté)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e85pt">
    <w:name w:val="Texte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29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29FD"/>
    <w:pPr>
      <w:spacing w:after="220" w:line="240" w:lineRule="auto"/>
    </w:pPr>
    <w:rPr>
      <w:rFonts w:ascii="Arial" w:hAnsi="Arial" w:cs="Times New Roman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29FD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626"/>
    <w:pPr>
      <w:spacing w:after="0"/>
    </w:pPr>
    <w:rPr>
      <w:rFonts w:asciiTheme="minorHAnsi" w:hAnsiTheme="minorHAnsi" w:cs="System"/>
      <w:b/>
      <w:bCs/>
      <w:spacing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3626"/>
    <w:rPr>
      <w:rFonts w:ascii="Arial" w:hAnsi="Arial"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82A051F2C0424ABEA9365070759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29B57-5DDA-49EE-B6C6-AEA4CD1A7690}"/>
      </w:docPartPr>
      <w:docPartBody>
        <w:p w:rsidR="00D376EC" w:rsidRDefault="00D376EC">
          <w:pPr>
            <w:pStyle w:val="6782A051F2C0424ABEA93650707591B5"/>
          </w:pPr>
          <w:r w:rsidRPr="00783544">
            <w:rPr>
              <w:rStyle w:val="Platzhaltertext"/>
              <w:lang w:val="fr-CH"/>
            </w:rPr>
            <w:t>Objet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EC"/>
    <w:rsid w:val="00D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A2610E5E8C4D47CD896D54D21C3AA120">
    <w:name w:val="A2610E5E8C4D47CD896D54D21C3AA120"/>
  </w:style>
  <w:style w:type="paragraph" w:customStyle="1" w:styleId="180A430270454DA7A52005EFDEA691DE">
    <w:name w:val="180A430270454DA7A52005EFDEA691DE"/>
  </w:style>
  <w:style w:type="paragraph" w:customStyle="1" w:styleId="1332401ACBEB4AF4958D2613DE40BD65">
    <w:name w:val="1332401ACBEB4AF4958D2613DE40BD65"/>
  </w:style>
  <w:style w:type="paragraph" w:customStyle="1" w:styleId="D88BCDCF8376469D8F364DF6EDFB4A6D">
    <w:name w:val="D88BCDCF8376469D8F364DF6EDFB4A6D"/>
  </w:style>
  <w:style w:type="paragraph" w:customStyle="1" w:styleId="6782A051F2C0424ABEA93650707591B5">
    <w:name w:val="6782A051F2C0424ABEA93650707591B5"/>
  </w:style>
  <w:style w:type="paragraph" w:customStyle="1" w:styleId="43E03440D713422ABD437A5A05C391F7">
    <w:name w:val="43E03440D713422ABD437A5A05C391F7"/>
  </w:style>
  <w:style w:type="paragraph" w:customStyle="1" w:styleId="08413DC26E7F40B0B1E93BE2726D5484">
    <w:name w:val="08413DC26E7F40B0B1E93BE2726D5484"/>
  </w:style>
  <w:style w:type="paragraph" w:customStyle="1" w:styleId="2DDC998E202B4A03B93C408BE086EB5E">
    <w:name w:val="2DDC998E202B4A03B93C408BE086EB5E"/>
  </w:style>
  <w:style w:type="paragraph" w:customStyle="1" w:styleId="8C35478219AE43ACB926B36905D92A76">
    <w:name w:val="8C35478219AE43ACB926B36905D92A76"/>
  </w:style>
  <w:style w:type="paragraph" w:customStyle="1" w:styleId="3B25606A12654A9489BE7C6EBCFF7ABF">
    <w:name w:val="3B25606A12654A9489BE7C6EBCFF7ABF"/>
  </w:style>
  <w:style w:type="paragraph" w:customStyle="1" w:styleId="1742BC2C2E8646D2B85B12F026A22C06">
    <w:name w:val="1742BC2C2E8646D2B85B12F026A22C06"/>
  </w:style>
  <w:style w:type="paragraph" w:customStyle="1" w:styleId="6A1CB4F3D3F14425A913C2A5295308E7">
    <w:name w:val="6A1CB4F3D3F14425A913C2A5295308E7"/>
  </w:style>
  <w:style w:type="paragraph" w:customStyle="1" w:styleId="82F2D333AE964C26B56CB88250E1C013">
    <w:name w:val="82F2D333AE964C26B56CB88250E1C013"/>
  </w:style>
  <w:style w:type="paragraph" w:customStyle="1" w:styleId="AFA5B87B5610476492D3B5518BAEBD32">
    <w:name w:val="AFA5B87B5610476492D3B5518BAEBD32"/>
  </w:style>
  <w:style w:type="paragraph" w:customStyle="1" w:styleId="E519D12C4B9C40798B8376749D21DBE1">
    <w:name w:val="E519D12C4B9C40798B8376749D21D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Benutzerdefiniert 23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995F78A-F9BA-4C66-8525-A13078C6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du descriptif de prestation: encadrement socio-pédagogique et hébergement en milieu fermé</vt:lpstr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du descriptif de prestation: encadrement socio-pédagogique et hébergement en milieu fermé</dc:title>
  <dc:creator>OM</dc:creator>
  <dc:description>numéro de document</dc:description>
  <cp:lastModifiedBy>Habegger Manuel, DIJ-KJA</cp:lastModifiedBy>
  <cp:revision>2</cp:revision>
  <cp:lastPrinted>2019-09-11T20:00:00Z</cp:lastPrinted>
  <dcterms:created xsi:type="dcterms:W3CDTF">2021-10-05T10:11:00Z</dcterms:created>
  <dcterms:modified xsi:type="dcterms:W3CDTF">2021-10-05T10:11:00Z</dcterms:modified>
</cp:coreProperties>
</file>