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D0207D" w:rsidRPr="001C39A1" w14:paraId="7D1E8311" w14:textId="77777777" w:rsidTr="0007095A">
        <w:trPr>
          <w:trHeight w:val="1219"/>
        </w:trPr>
        <w:tc>
          <w:tcPr>
            <w:tcW w:w="5102" w:type="dxa"/>
          </w:tcPr>
          <w:p w14:paraId="1894A3FD" w14:textId="77777777" w:rsidR="00D0207D" w:rsidRPr="001C39A1" w:rsidRDefault="00D0207D" w:rsidP="0007095A">
            <w:pPr>
              <w:pStyle w:val="Texte85pt"/>
              <w:rPr>
                <w:lang w:val="fr-CH"/>
              </w:rPr>
            </w:pPr>
            <w:bookmarkStart w:id="0" w:name="_GoBack"/>
            <w:bookmarkEnd w:id="0"/>
            <w:r w:rsidRPr="001C39A1">
              <w:rPr>
                <w:lang w:val="fr-CH"/>
              </w:rPr>
              <w:t>Direction de l’intérieur et de la justice</w:t>
            </w:r>
          </w:p>
          <w:p w14:paraId="1963E83F" w14:textId="77777777" w:rsidR="00D0207D" w:rsidRPr="001C39A1" w:rsidRDefault="00D0207D" w:rsidP="001B4DBF">
            <w:pPr>
              <w:pStyle w:val="Texte85pt"/>
              <w:rPr>
                <w:lang w:val="fr-CH"/>
              </w:rPr>
            </w:pPr>
            <w:r w:rsidRPr="001C39A1">
              <w:rPr>
                <w:lang w:val="fr-CH"/>
              </w:rPr>
              <w:t>Office des mineurs</w:t>
            </w:r>
          </w:p>
          <w:p w14:paraId="28D1695E" w14:textId="77777777" w:rsidR="00D0207D" w:rsidRPr="001C39A1" w:rsidRDefault="00D0207D" w:rsidP="001B4DBF">
            <w:pPr>
              <w:pStyle w:val="Texte85pt"/>
              <w:rPr>
                <w:lang w:val="fr-CH"/>
              </w:rPr>
            </w:pPr>
          </w:p>
          <w:p w14:paraId="04C402A2" w14:textId="77777777" w:rsidR="00D0207D" w:rsidRPr="001C39A1" w:rsidRDefault="00D0207D" w:rsidP="0007095A">
            <w:pPr>
              <w:pStyle w:val="Texte85pt"/>
              <w:rPr>
                <w:lang w:val="fr-CH"/>
              </w:rPr>
            </w:pPr>
            <w:r w:rsidRPr="001C39A1">
              <w:rPr>
                <w:lang w:val="fr-CH"/>
              </w:rPr>
              <w:t>Hallerstrasse 5</w:t>
            </w:r>
          </w:p>
          <w:p w14:paraId="6EA5BF44" w14:textId="77777777" w:rsidR="00D0207D" w:rsidRPr="001C39A1" w:rsidRDefault="00D0207D" w:rsidP="0007095A">
            <w:pPr>
              <w:pStyle w:val="Texte85pt"/>
              <w:rPr>
                <w:lang w:val="fr-CH"/>
              </w:rPr>
            </w:pPr>
            <w:r w:rsidRPr="001C39A1">
              <w:rPr>
                <w:lang w:val="fr-CH"/>
              </w:rPr>
              <w:t>Case postale</w:t>
            </w:r>
          </w:p>
          <w:p w14:paraId="67A7794E" w14:textId="77777777" w:rsidR="00D0207D" w:rsidRPr="00627E66" w:rsidRDefault="00D0207D" w:rsidP="0007095A">
            <w:pPr>
              <w:pStyle w:val="Texte85pt"/>
              <w:rPr>
                <w:lang w:val="de-DE"/>
              </w:rPr>
            </w:pPr>
            <w:r w:rsidRPr="00627E66">
              <w:rPr>
                <w:lang w:val="de-DE"/>
              </w:rPr>
              <w:t>3001 Berne</w:t>
            </w:r>
          </w:p>
          <w:p w14:paraId="1EE58ADE" w14:textId="77777777" w:rsidR="00D0207D" w:rsidRPr="00627E66" w:rsidRDefault="00D0207D" w:rsidP="0007095A">
            <w:pPr>
              <w:pStyle w:val="Texte85pt"/>
              <w:rPr>
                <w:lang w:val="de-DE"/>
              </w:rPr>
            </w:pPr>
            <w:r w:rsidRPr="00627E66">
              <w:rPr>
                <w:lang w:val="de-DE"/>
              </w:rPr>
              <w:t>+41 31 633 76 33</w:t>
            </w:r>
          </w:p>
          <w:p w14:paraId="670D1ED8" w14:textId="77777777" w:rsidR="00D0207D" w:rsidRPr="00627E66" w:rsidRDefault="00D0207D" w:rsidP="0007095A">
            <w:pPr>
              <w:pStyle w:val="Texte85pt"/>
              <w:rPr>
                <w:lang w:val="de-DE"/>
              </w:rPr>
            </w:pPr>
            <w:r w:rsidRPr="00627E66">
              <w:rPr>
                <w:lang w:val="de-DE"/>
              </w:rPr>
              <w:t>kja-bern@be.ch</w:t>
            </w:r>
          </w:p>
          <w:p w14:paraId="7D652725" w14:textId="77777777" w:rsidR="00D0207D" w:rsidRPr="00627E66" w:rsidRDefault="00D0207D" w:rsidP="0007095A">
            <w:pPr>
              <w:pStyle w:val="Texte85pt"/>
              <w:rPr>
                <w:lang w:val="de-DE"/>
              </w:rPr>
            </w:pPr>
            <w:r w:rsidRPr="00627E66">
              <w:rPr>
                <w:lang w:val="de-DE"/>
              </w:rPr>
              <w:t>www.be.ch/om</w:t>
            </w:r>
          </w:p>
          <w:p w14:paraId="6DFF7AFF" w14:textId="53BD91E2" w:rsidR="00D0207D" w:rsidRPr="00627E66" w:rsidRDefault="00D0207D" w:rsidP="008D57E8">
            <w:pPr>
              <w:pStyle w:val="Texte85pt"/>
              <w:rPr>
                <w:lang w:val="de-DE"/>
              </w:rPr>
            </w:pPr>
          </w:p>
        </w:tc>
      </w:tr>
    </w:tbl>
    <w:p w14:paraId="517A10B0" w14:textId="5C34B35B" w:rsidR="007056B0" w:rsidRPr="007056B0" w:rsidRDefault="007056B0" w:rsidP="007056B0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theme="minorBidi"/>
          <w:bCs w:val="0"/>
          <w:spacing w:val="0"/>
          <w:sz w:val="26"/>
          <w:lang w:val="fr-CH"/>
        </w:rPr>
      </w:pPr>
      <w:r w:rsidRPr="007056B0">
        <w:rPr>
          <w:rFonts w:ascii="Arial" w:hAnsi="Arial" w:cstheme="minorBidi"/>
          <w:bCs w:val="0"/>
          <w:spacing w:val="0"/>
          <w:sz w:val="26"/>
          <w:lang w:val="fr-CH"/>
        </w:rPr>
        <w:t xml:space="preserve">Prestation: suivi socio-pédagogique des placements durant la semaine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7056B0" w:rsidRPr="00BA7BA2" w14:paraId="517CD856" w14:textId="77777777" w:rsidTr="001F5B4A">
        <w:trPr>
          <w:cantSplit/>
        </w:trPr>
        <w:tc>
          <w:tcPr>
            <w:tcW w:w="3331" w:type="dxa"/>
          </w:tcPr>
          <w:p w14:paraId="52DF04D5" w14:textId="77777777" w:rsidR="007056B0" w:rsidRPr="00034AFC" w:rsidRDefault="007056B0" w:rsidP="001F5B4A">
            <w:pPr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Catalogue de prestations: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3180" w14:textId="77777777" w:rsidR="007056B0" w:rsidRPr="00034AFC" w:rsidRDefault="007056B0" w:rsidP="001F5B4A">
            <w:pPr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 xml:space="preserve">Aides éducatives complémentaires de type ambulatoire liées au domaine résidentiel </w:t>
            </w:r>
          </w:p>
        </w:tc>
      </w:tr>
    </w:tbl>
    <w:p w14:paraId="3D84371B" w14:textId="77777777" w:rsidR="007056B0" w:rsidRPr="00034AFC" w:rsidRDefault="007056B0" w:rsidP="007056B0">
      <w:pPr>
        <w:rPr>
          <w:rFonts w:eastAsia="Arial" w:cs="Times New Roman"/>
          <w:sz w:val="20"/>
          <w:szCs w:val="20"/>
          <w:lang w:val="fr-CH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7056B0" w:rsidRPr="00BA7BA2" w14:paraId="6896227C" w14:textId="77777777" w:rsidTr="001F5B4A">
        <w:trPr>
          <w:cantSplit/>
        </w:trPr>
        <w:tc>
          <w:tcPr>
            <w:tcW w:w="3331" w:type="dxa"/>
          </w:tcPr>
          <w:p w14:paraId="1442D4D0" w14:textId="77777777" w:rsidR="007056B0" w:rsidRPr="00034AFC" w:rsidRDefault="007056B0" w:rsidP="001F5B4A">
            <w:pPr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Groupe de prestations: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E669" w14:textId="77777777" w:rsidR="007056B0" w:rsidRPr="00034AFC" w:rsidRDefault="007056B0" w:rsidP="001F5B4A">
            <w:pPr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Prestations fournies dans le cadre du placement chez des parents nourriciers</w:t>
            </w:r>
          </w:p>
        </w:tc>
      </w:tr>
    </w:tbl>
    <w:p w14:paraId="62B5CECE" w14:textId="77777777" w:rsidR="007056B0" w:rsidRPr="00034AFC" w:rsidRDefault="007056B0" w:rsidP="007056B0">
      <w:pPr>
        <w:rPr>
          <w:rFonts w:eastAsia="Arial" w:cs="Times New Roman"/>
          <w:sz w:val="20"/>
          <w:szCs w:val="20"/>
          <w:lang w:val="fr-CH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7056B0" w:rsidRPr="003D5383" w14:paraId="3C738D37" w14:textId="77777777" w:rsidTr="001F5B4A">
        <w:trPr>
          <w:cantSplit/>
          <w:trHeight w:val="2633"/>
        </w:trPr>
        <w:tc>
          <w:tcPr>
            <w:tcW w:w="3331" w:type="dxa"/>
          </w:tcPr>
          <w:p w14:paraId="73CB93EB" w14:textId="77777777" w:rsidR="007056B0" w:rsidRPr="00034AFC" w:rsidRDefault="007056B0" w:rsidP="001F5B4A">
            <w:pPr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Description de la prestation:</w:t>
            </w:r>
          </w:p>
        </w:tc>
        <w:tc>
          <w:tcPr>
            <w:tcW w:w="6095" w:type="dxa"/>
          </w:tcPr>
          <w:p w14:paraId="63F68B77" w14:textId="77777777" w:rsidR="007056B0" w:rsidRPr="00034AFC" w:rsidRDefault="007056B0" w:rsidP="001F5B4A">
            <w:pPr>
              <w:pStyle w:val="Kommentartext"/>
              <w:spacing w:after="0" w:line="280" w:lineRule="atLeast"/>
              <w:rPr>
                <w:rFonts w:eastAsia="Arial"/>
                <w:lang w:val="fr-CH"/>
              </w:rPr>
            </w:pPr>
            <w:r w:rsidRPr="00034AFC">
              <w:rPr>
                <w:rFonts w:eastAsia="Arial"/>
                <w:lang w:val="fr-CH"/>
              </w:rPr>
              <w:t>Les parents d’accueil et l’enfant placé bénéficient d’un soutien et d’un suivi dans le cadre du placement durant la semaine. Le suivi professionnel comprend les aspects suivants:</w:t>
            </w:r>
          </w:p>
          <w:p w14:paraId="0451400E" w14:textId="77777777" w:rsidR="007056B0" w:rsidRPr="00034AFC" w:rsidRDefault="007056B0" w:rsidP="007056B0">
            <w:pPr>
              <w:pStyle w:val="Kommentartext"/>
              <w:numPr>
                <w:ilvl w:val="0"/>
                <w:numId w:val="28"/>
              </w:numPr>
              <w:spacing w:after="0" w:line="280" w:lineRule="atLeast"/>
              <w:rPr>
                <w:lang w:val="fr-CH"/>
              </w:rPr>
            </w:pPr>
            <w:r w:rsidRPr="00034AFC">
              <w:rPr>
                <w:rFonts w:eastAsia="Arial"/>
                <w:lang w:val="fr-CH"/>
              </w:rPr>
              <w:t xml:space="preserve">traitement de problèmes d’ordre pédagogique et propres au développement; </w:t>
            </w:r>
          </w:p>
          <w:p w14:paraId="3C131B2C" w14:textId="77777777" w:rsidR="007056B0" w:rsidRPr="00034AFC" w:rsidRDefault="007056B0" w:rsidP="007056B0">
            <w:pPr>
              <w:pStyle w:val="Kommentartext"/>
              <w:numPr>
                <w:ilvl w:val="0"/>
                <w:numId w:val="28"/>
              </w:numPr>
              <w:spacing w:after="0" w:line="280" w:lineRule="atLeast"/>
              <w:rPr>
                <w:lang w:val="fr-CH"/>
              </w:rPr>
            </w:pPr>
            <w:r w:rsidRPr="00034AFC">
              <w:rPr>
                <w:rFonts w:eastAsia="Arial"/>
                <w:lang w:val="fr-CH"/>
              </w:rPr>
              <w:t xml:space="preserve">gestion de situations de grande tension (crises); </w:t>
            </w:r>
          </w:p>
          <w:p w14:paraId="440648C4" w14:textId="77777777" w:rsidR="007056B0" w:rsidRPr="00034AFC" w:rsidRDefault="007056B0" w:rsidP="007056B0">
            <w:pPr>
              <w:pStyle w:val="Kommentartext"/>
              <w:numPr>
                <w:ilvl w:val="0"/>
                <w:numId w:val="28"/>
              </w:numPr>
              <w:spacing w:after="0" w:line="280" w:lineRule="atLeast"/>
              <w:rPr>
                <w:lang w:val="fr-CH"/>
              </w:rPr>
            </w:pPr>
            <w:r w:rsidRPr="00034AFC">
              <w:rPr>
                <w:rFonts w:eastAsia="Arial"/>
                <w:lang w:val="fr-CH"/>
              </w:rPr>
              <w:t xml:space="preserve">examen des conditions prévalant dans la famille d’origine afin de favoriser la réussite du retour de l’enfant; </w:t>
            </w:r>
          </w:p>
          <w:p w14:paraId="4022629E" w14:textId="77777777" w:rsidR="007056B0" w:rsidRPr="00034AFC" w:rsidRDefault="007056B0" w:rsidP="007056B0">
            <w:pPr>
              <w:pStyle w:val="Kommentartext"/>
              <w:numPr>
                <w:ilvl w:val="0"/>
                <w:numId w:val="28"/>
              </w:numPr>
              <w:spacing w:after="0" w:line="280" w:lineRule="atLeast"/>
              <w:rPr>
                <w:lang w:val="fr-CH"/>
              </w:rPr>
            </w:pPr>
            <w:r w:rsidRPr="00034AFC">
              <w:rPr>
                <w:rFonts w:eastAsia="Arial"/>
                <w:lang w:val="fr-CH"/>
              </w:rPr>
              <w:t xml:space="preserve">soutien apporté à la coordination des aides et à la gestion des questions administratives. </w:t>
            </w:r>
          </w:p>
          <w:p w14:paraId="022E11F5" w14:textId="77777777" w:rsidR="007056B0" w:rsidRPr="00034AFC" w:rsidRDefault="007056B0" w:rsidP="001F5B4A">
            <w:pPr>
              <w:pStyle w:val="Kommentartext"/>
              <w:spacing w:after="0" w:line="280" w:lineRule="atLeast"/>
              <w:rPr>
                <w:lang w:val="fr-CH"/>
              </w:rPr>
            </w:pPr>
          </w:p>
        </w:tc>
      </w:tr>
      <w:tr w:rsidR="007056B0" w:rsidRPr="00BA7BA2" w14:paraId="63E331FF" w14:textId="77777777" w:rsidTr="001F5B4A">
        <w:trPr>
          <w:cantSplit/>
        </w:trPr>
        <w:tc>
          <w:tcPr>
            <w:tcW w:w="3331" w:type="dxa"/>
          </w:tcPr>
          <w:p w14:paraId="37FD4D14" w14:textId="77777777" w:rsidR="007056B0" w:rsidRPr="00034AFC" w:rsidRDefault="007056B0" w:rsidP="001F5B4A">
            <w:pPr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Objectifs supérieurs:</w:t>
            </w:r>
          </w:p>
        </w:tc>
        <w:tc>
          <w:tcPr>
            <w:tcW w:w="6095" w:type="dxa"/>
          </w:tcPr>
          <w:p w14:paraId="0B82B76F" w14:textId="77777777" w:rsidR="007056B0" w:rsidRPr="00034AFC" w:rsidRDefault="007056B0" w:rsidP="001F5B4A">
            <w:pPr>
              <w:pStyle w:val="Kommentartext"/>
              <w:spacing w:after="0" w:line="280" w:lineRule="atLeast"/>
              <w:rPr>
                <w:lang w:val="fr-CH"/>
              </w:rPr>
            </w:pPr>
            <w:r w:rsidRPr="00034AFC">
              <w:rPr>
                <w:lang w:val="fr-CH"/>
              </w:rPr>
              <w:t>Le travail effectué avec la famille d’origine et la coordination entre divers systèmes de soutien favorisent le retour de l’enfant dans sa famille.</w:t>
            </w:r>
          </w:p>
          <w:p w14:paraId="30C3D586" w14:textId="77777777" w:rsidR="007056B0" w:rsidRPr="00034AFC" w:rsidRDefault="007056B0" w:rsidP="001F5B4A">
            <w:pPr>
              <w:pStyle w:val="Kommentartext"/>
              <w:spacing w:after="0" w:line="280" w:lineRule="atLeast"/>
              <w:rPr>
                <w:lang w:val="fr-CH"/>
              </w:rPr>
            </w:pPr>
          </w:p>
        </w:tc>
      </w:tr>
      <w:tr w:rsidR="007056B0" w:rsidRPr="00BA7BA2" w14:paraId="197B45E6" w14:textId="77777777" w:rsidTr="001F5B4A">
        <w:trPr>
          <w:cantSplit/>
        </w:trPr>
        <w:tc>
          <w:tcPr>
            <w:tcW w:w="3331" w:type="dxa"/>
          </w:tcPr>
          <w:p w14:paraId="1E01E5F2" w14:textId="77777777" w:rsidR="007056B0" w:rsidRPr="00034AFC" w:rsidRDefault="007056B0" w:rsidP="001F5B4A">
            <w:pPr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Etendue de la prestation:</w:t>
            </w:r>
          </w:p>
        </w:tc>
        <w:tc>
          <w:tcPr>
            <w:tcW w:w="6095" w:type="dxa"/>
          </w:tcPr>
          <w:p w14:paraId="49DF3461" w14:textId="77777777" w:rsidR="007056B0" w:rsidRPr="00034AFC" w:rsidRDefault="007056B0" w:rsidP="001F5B4A">
            <w:pPr>
              <w:pStyle w:val="Kommentartext"/>
              <w:spacing w:after="0" w:line="280" w:lineRule="atLeast"/>
              <w:rPr>
                <w:lang w:val="fr-CH"/>
              </w:rPr>
            </w:pPr>
            <w:r w:rsidRPr="00034AFC">
              <w:rPr>
                <w:lang w:val="fr-CH"/>
              </w:rPr>
              <w:t>Le suivi de la prise en charge durant la semaine dure généralement un an et prend fin au plus tard après 18 mois.</w:t>
            </w:r>
          </w:p>
          <w:p w14:paraId="12E94150" w14:textId="77777777" w:rsidR="007056B0" w:rsidRPr="00034AFC" w:rsidRDefault="007056B0" w:rsidP="001F5B4A">
            <w:pPr>
              <w:pStyle w:val="Kommentartext"/>
              <w:spacing w:after="0" w:line="280" w:lineRule="atLeast"/>
              <w:rPr>
                <w:lang w:val="fr-CH"/>
              </w:rPr>
            </w:pPr>
          </w:p>
        </w:tc>
      </w:tr>
      <w:tr w:rsidR="007056B0" w:rsidRPr="00BA7BA2" w14:paraId="6AD7FEBF" w14:textId="77777777" w:rsidTr="001F5B4A">
        <w:trPr>
          <w:cantSplit/>
        </w:trPr>
        <w:tc>
          <w:tcPr>
            <w:tcW w:w="3331" w:type="dxa"/>
          </w:tcPr>
          <w:p w14:paraId="293545FF" w14:textId="77777777" w:rsidR="007056B0" w:rsidRPr="00034AFC" w:rsidRDefault="007056B0" w:rsidP="001F5B4A">
            <w:pPr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Destinataires de la prestation:</w:t>
            </w:r>
          </w:p>
        </w:tc>
        <w:tc>
          <w:tcPr>
            <w:tcW w:w="6095" w:type="dxa"/>
          </w:tcPr>
          <w:p w14:paraId="7BCB1F60" w14:textId="77777777" w:rsidR="007056B0" w:rsidRPr="00034AFC" w:rsidRDefault="007056B0" w:rsidP="007056B0">
            <w:pPr>
              <w:pStyle w:val="Kommentartext"/>
              <w:numPr>
                <w:ilvl w:val="0"/>
                <w:numId w:val="28"/>
              </w:numPr>
              <w:spacing w:after="0" w:line="280" w:lineRule="exact"/>
              <w:rPr>
                <w:lang w:val="fr-CH"/>
              </w:rPr>
            </w:pPr>
            <w:r w:rsidRPr="00034AFC">
              <w:rPr>
                <w:lang w:val="fr-CH"/>
              </w:rPr>
              <w:t xml:space="preserve">Parents assurant un accueil pendant la semaine </w:t>
            </w:r>
          </w:p>
          <w:p w14:paraId="3A7F9A9D" w14:textId="77777777" w:rsidR="007056B0" w:rsidRPr="00034AFC" w:rsidRDefault="007056B0" w:rsidP="007056B0">
            <w:pPr>
              <w:pStyle w:val="Kommentartext"/>
              <w:numPr>
                <w:ilvl w:val="0"/>
                <w:numId w:val="28"/>
              </w:numPr>
              <w:spacing w:after="0" w:line="280" w:lineRule="exact"/>
              <w:ind w:left="714" w:hanging="357"/>
              <w:rPr>
                <w:lang w:val="fr-CH"/>
              </w:rPr>
            </w:pPr>
            <w:r w:rsidRPr="00034AFC">
              <w:rPr>
                <w:lang w:val="fr-CH"/>
              </w:rPr>
              <w:t>Enfants qui ne peuvent pas être pris en charge à plein temps de manière adéquate dans leur famille d’origine</w:t>
            </w:r>
          </w:p>
          <w:p w14:paraId="4C5B52E0" w14:textId="77777777" w:rsidR="007056B0" w:rsidRPr="00034AFC" w:rsidRDefault="007056B0" w:rsidP="007056B0">
            <w:pPr>
              <w:pStyle w:val="Kommentartext"/>
              <w:numPr>
                <w:ilvl w:val="0"/>
                <w:numId w:val="28"/>
              </w:numPr>
              <w:spacing w:after="0" w:line="280" w:lineRule="exact"/>
              <w:ind w:left="714" w:hanging="357"/>
              <w:rPr>
                <w:lang w:val="fr-CH"/>
              </w:rPr>
            </w:pPr>
            <w:r w:rsidRPr="00034AFC">
              <w:rPr>
                <w:lang w:val="fr-CH"/>
              </w:rPr>
              <w:t>Famille d’origine travaillant à la création des conditions nécessaires au retour de son enfant.</w:t>
            </w:r>
          </w:p>
          <w:p w14:paraId="66872D0B" w14:textId="77777777" w:rsidR="007056B0" w:rsidRPr="00034AFC" w:rsidRDefault="007056B0" w:rsidP="001F5B4A">
            <w:pPr>
              <w:pStyle w:val="Kommentartext"/>
              <w:spacing w:after="0"/>
              <w:ind w:left="720"/>
              <w:rPr>
                <w:lang w:val="fr-CH"/>
              </w:rPr>
            </w:pPr>
          </w:p>
        </w:tc>
      </w:tr>
    </w:tbl>
    <w:p w14:paraId="27BD9A3E" w14:textId="77777777" w:rsidR="002766FE" w:rsidRPr="00BA7BA2" w:rsidRDefault="002766FE">
      <w:pPr>
        <w:rPr>
          <w:lang w:val="fr-CH"/>
        </w:rPr>
      </w:pPr>
      <w:r w:rsidRPr="00BA7BA2">
        <w:rPr>
          <w:lang w:val="fr-CH"/>
        </w:rP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7056B0" w:rsidRPr="00BA7BA2" w14:paraId="53042E74" w14:textId="77777777" w:rsidTr="001F5B4A">
        <w:trPr>
          <w:cantSplit/>
        </w:trPr>
        <w:tc>
          <w:tcPr>
            <w:tcW w:w="3331" w:type="dxa"/>
            <w:shd w:val="clear" w:color="auto" w:fill="CCCCCC"/>
          </w:tcPr>
          <w:p w14:paraId="7B54D9F9" w14:textId="6D671C82" w:rsidR="007056B0" w:rsidRPr="00034AFC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lastRenderedPageBreak/>
              <w:t>Objectif 1 de la prestation:</w:t>
            </w:r>
          </w:p>
        </w:tc>
        <w:tc>
          <w:tcPr>
            <w:tcW w:w="6095" w:type="dxa"/>
            <w:shd w:val="clear" w:color="auto" w:fill="CCCCCC"/>
          </w:tcPr>
          <w:p w14:paraId="013B1794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sz w:val="20"/>
                <w:szCs w:val="20"/>
                <w:lang w:val="fr-CH"/>
              </w:rPr>
              <w:t xml:space="preserve">Le mandat du service de placement consistant à assurer un suivi est concrétisé avec les parents d’accueil quant à son contenu, à sa forme et à son étendue, l’enfant étant intégré d’une manière adaptée à son âge. Les objectifs sont fixés et les rôles des différents acteurs sont clarifiés. </w:t>
            </w:r>
          </w:p>
        </w:tc>
      </w:tr>
      <w:tr w:rsidR="007056B0" w:rsidRPr="00264FE4" w14:paraId="764AFFB6" w14:textId="77777777" w:rsidTr="001F5B4A">
        <w:trPr>
          <w:cantSplit/>
        </w:trPr>
        <w:tc>
          <w:tcPr>
            <w:tcW w:w="3331" w:type="dxa"/>
          </w:tcPr>
          <w:p w14:paraId="6276FFFE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Indicateur 1 pour l‘objectif 1:</w:t>
            </w:r>
          </w:p>
        </w:tc>
        <w:tc>
          <w:tcPr>
            <w:tcW w:w="6095" w:type="dxa"/>
          </w:tcPr>
          <w:p w14:paraId="0A478F24" w14:textId="280B4A02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264FE4" w14:paraId="6B9BE556" w14:textId="77777777" w:rsidTr="001F5B4A">
        <w:trPr>
          <w:cantSplit/>
        </w:trPr>
        <w:tc>
          <w:tcPr>
            <w:tcW w:w="3331" w:type="dxa"/>
          </w:tcPr>
          <w:p w14:paraId="3640ECB1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Standard pour l’indicateur 1:</w:t>
            </w:r>
          </w:p>
        </w:tc>
        <w:tc>
          <w:tcPr>
            <w:tcW w:w="6095" w:type="dxa"/>
          </w:tcPr>
          <w:p w14:paraId="73C51AA3" w14:textId="2A1212D2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264FE4" w14:paraId="5CDB4280" w14:textId="77777777" w:rsidTr="001F5B4A">
        <w:trPr>
          <w:cantSplit/>
        </w:trPr>
        <w:tc>
          <w:tcPr>
            <w:tcW w:w="3331" w:type="dxa"/>
          </w:tcPr>
          <w:p w14:paraId="56B9F37A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Méthodologie et instruments</w:t>
            </w:r>
          </w:p>
        </w:tc>
        <w:tc>
          <w:tcPr>
            <w:tcW w:w="6095" w:type="dxa"/>
          </w:tcPr>
          <w:p w14:paraId="4111A45C" w14:textId="77777777" w:rsidR="007056B0" w:rsidRPr="00034AFC" w:rsidRDefault="007056B0" w:rsidP="00BA7BA2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0891A654" w14:textId="77777777" w:rsidTr="001F5B4A">
        <w:trPr>
          <w:cantSplit/>
        </w:trPr>
        <w:tc>
          <w:tcPr>
            <w:tcW w:w="3331" w:type="dxa"/>
            <w:shd w:val="clear" w:color="auto" w:fill="CCCCCC"/>
          </w:tcPr>
          <w:p w14:paraId="6293039C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Objectif 2 de la prestation:</w:t>
            </w:r>
          </w:p>
        </w:tc>
        <w:tc>
          <w:tcPr>
            <w:tcW w:w="6095" w:type="dxa"/>
            <w:shd w:val="clear" w:color="auto" w:fill="CCCCCC"/>
          </w:tcPr>
          <w:p w14:paraId="3CFE7314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sz w:val="20"/>
                <w:szCs w:val="20"/>
                <w:lang w:val="fr-CH"/>
              </w:rPr>
              <w:t>Les parents d’accueil bénéficient d’un soutien et d’un suivi pour accomplir leurs tâches, conformément au contrat de placement, pour répondre à un besoin particulier de l’enfant mais aussi pour entretenir des relations avec les parents de l’enfant et son milieu d’origine.</w:t>
            </w:r>
          </w:p>
        </w:tc>
      </w:tr>
      <w:tr w:rsidR="007056B0" w:rsidRPr="00034AFC" w14:paraId="121974F6" w14:textId="77777777" w:rsidTr="001F5B4A">
        <w:trPr>
          <w:cantSplit/>
        </w:trPr>
        <w:tc>
          <w:tcPr>
            <w:tcW w:w="3331" w:type="dxa"/>
          </w:tcPr>
          <w:p w14:paraId="56A692BF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Indicateur 1 pour l’objectif 2:</w:t>
            </w:r>
          </w:p>
        </w:tc>
        <w:tc>
          <w:tcPr>
            <w:tcW w:w="6095" w:type="dxa"/>
          </w:tcPr>
          <w:p w14:paraId="4F5885FF" w14:textId="46BA281A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034AFC" w14:paraId="6DE2E7C6" w14:textId="77777777" w:rsidTr="001F5B4A">
        <w:trPr>
          <w:cantSplit/>
        </w:trPr>
        <w:tc>
          <w:tcPr>
            <w:tcW w:w="3331" w:type="dxa"/>
          </w:tcPr>
          <w:p w14:paraId="75A8B55D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Standard 1 pour l’indicateur 1:</w:t>
            </w:r>
          </w:p>
        </w:tc>
        <w:tc>
          <w:tcPr>
            <w:tcW w:w="6095" w:type="dxa"/>
          </w:tcPr>
          <w:p w14:paraId="6442B33C" w14:textId="2669F2E7" w:rsidR="007056B0" w:rsidRPr="00034AFC" w:rsidRDefault="007056B0" w:rsidP="00BA7BA2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34A649F1" w14:textId="77777777" w:rsidTr="001F5B4A">
        <w:trPr>
          <w:cantSplit/>
        </w:trPr>
        <w:tc>
          <w:tcPr>
            <w:tcW w:w="3331" w:type="dxa"/>
          </w:tcPr>
          <w:p w14:paraId="34E2951C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Méthodologie et instruments</w:t>
            </w:r>
          </w:p>
        </w:tc>
        <w:tc>
          <w:tcPr>
            <w:tcW w:w="6095" w:type="dxa"/>
          </w:tcPr>
          <w:p w14:paraId="70422585" w14:textId="77777777" w:rsidR="007056B0" w:rsidRPr="00034AFC" w:rsidRDefault="007056B0" w:rsidP="00BA7BA2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071830B2" w14:textId="77777777" w:rsidTr="001F5B4A">
        <w:trPr>
          <w:cantSplit/>
        </w:trPr>
        <w:tc>
          <w:tcPr>
            <w:tcW w:w="3331" w:type="dxa"/>
            <w:shd w:val="clear" w:color="auto" w:fill="CCCCCC"/>
          </w:tcPr>
          <w:p w14:paraId="6A6F684F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Objectif 3 de la prestation:</w:t>
            </w:r>
          </w:p>
        </w:tc>
        <w:tc>
          <w:tcPr>
            <w:tcW w:w="6095" w:type="dxa"/>
            <w:shd w:val="clear" w:color="auto" w:fill="CCCCCC"/>
          </w:tcPr>
          <w:p w14:paraId="4F017CA9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sz w:val="20"/>
                <w:szCs w:val="20"/>
                <w:lang w:val="fr-CH"/>
              </w:rPr>
              <w:t>L’enfant placé est intégré au suivi du placement et peut exprimer ses préoccupations.</w:t>
            </w:r>
          </w:p>
        </w:tc>
      </w:tr>
      <w:tr w:rsidR="007056B0" w:rsidRPr="00034AFC" w14:paraId="6AD582A8" w14:textId="77777777" w:rsidTr="001F5B4A">
        <w:trPr>
          <w:cantSplit/>
        </w:trPr>
        <w:tc>
          <w:tcPr>
            <w:tcW w:w="3331" w:type="dxa"/>
          </w:tcPr>
          <w:p w14:paraId="4610D336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Indicateur 1 pour l’objectif 4:</w:t>
            </w:r>
          </w:p>
        </w:tc>
        <w:tc>
          <w:tcPr>
            <w:tcW w:w="6095" w:type="dxa"/>
          </w:tcPr>
          <w:p w14:paraId="0E83A173" w14:textId="664CA3A7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48A2AD5E" w14:textId="77777777" w:rsidTr="001F5B4A">
        <w:trPr>
          <w:cantSplit/>
        </w:trPr>
        <w:tc>
          <w:tcPr>
            <w:tcW w:w="3331" w:type="dxa"/>
          </w:tcPr>
          <w:p w14:paraId="1C02449F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Standard pour l’indicateur 1:</w:t>
            </w:r>
          </w:p>
        </w:tc>
        <w:tc>
          <w:tcPr>
            <w:tcW w:w="6095" w:type="dxa"/>
          </w:tcPr>
          <w:p w14:paraId="1E0F364B" w14:textId="417CD12A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770F58A6" w14:textId="77777777" w:rsidTr="001F5B4A">
        <w:trPr>
          <w:cantSplit/>
        </w:trPr>
        <w:tc>
          <w:tcPr>
            <w:tcW w:w="3331" w:type="dxa"/>
          </w:tcPr>
          <w:p w14:paraId="23E1CBFD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Méthodologie et instruments</w:t>
            </w:r>
          </w:p>
        </w:tc>
        <w:tc>
          <w:tcPr>
            <w:tcW w:w="6095" w:type="dxa"/>
          </w:tcPr>
          <w:p w14:paraId="5441B025" w14:textId="77777777" w:rsidR="007056B0" w:rsidRPr="00034AFC" w:rsidRDefault="007056B0" w:rsidP="00BA7BA2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62DF1F00" w14:textId="77777777" w:rsidTr="001F5B4A">
        <w:trPr>
          <w:cantSplit/>
        </w:trPr>
        <w:tc>
          <w:tcPr>
            <w:tcW w:w="3331" w:type="dxa"/>
            <w:shd w:val="clear" w:color="auto" w:fill="CCCCCC"/>
          </w:tcPr>
          <w:p w14:paraId="22C8D703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Objectif 4 de la prestation:</w:t>
            </w:r>
          </w:p>
        </w:tc>
        <w:tc>
          <w:tcPr>
            <w:tcW w:w="6095" w:type="dxa"/>
            <w:shd w:val="clear" w:color="auto" w:fill="CCCCCC"/>
          </w:tcPr>
          <w:p w14:paraId="0DED4790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sz w:val="20"/>
                <w:szCs w:val="20"/>
                <w:lang w:val="fr-CH"/>
              </w:rPr>
              <w:t>Les parents d’accueil sont soutenus au quotidien et lors de situations de crise.</w:t>
            </w:r>
          </w:p>
        </w:tc>
      </w:tr>
      <w:tr w:rsidR="007056B0" w:rsidRPr="00034AFC" w14:paraId="194B7A99" w14:textId="77777777" w:rsidTr="001F5B4A">
        <w:trPr>
          <w:cantSplit/>
        </w:trPr>
        <w:tc>
          <w:tcPr>
            <w:tcW w:w="3331" w:type="dxa"/>
          </w:tcPr>
          <w:p w14:paraId="24B52BFA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Indicateur 1 pour l’objectif 5:</w:t>
            </w:r>
          </w:p>
        </w:tc>
        <w:tc>
          <w:tcPr>
            <w:tcW w:w="6095" w:type="dxa"/>
          </w:tcPr>
          <w:p w14:paraId="5564DBA7" w14:textId="618B38EA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034AFC" w14:paraId="2C08573A" w14:textId="77777777" w:rsidTr="001F5B4A">
        <w:trPr>
          <w:cantSplit/>
        </w:trPr>
        <w:tc>
          <w:tcPr>
            <w:tcW w:w="3331" w:type="dxa"/>
          </w:tcPr>
          <w:p w14:paraId="7FAB0CC1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Standard pour l’indicateur 1:</w:t>
            </w:r>
          </w:p>
        </w:tc>
        <w:tc>
          <w:tcPr>
            <w:tcW w:w="6095" w:type="dxa"/>
          </w:tcPr>
          <w:p w14:paraId="60154BC3" w14:textId="6C8AC837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209FF301" w14:textId="77777777" w:rsidTr="001F5B4A">
        <w:trPr>
          <w:cantSplit/>
        </w:trPr>
        <w:tc>
          <w:tcPr>
            <w:tcW w:w="3331" w:type="dxa"/>
          </w:tcPr>
          <w:p w14:paraId="57070850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Indicateur 2 pour l’objectif 5:</w:t>
            </w:r>
          </w:p>
        </w:tc>
        <w:tc>
          <w:tcPr>
            <w:tcW w:w="6095" w:type="dxa"/>
          </w:tcPr>
          <w:p w14:paraId="43D6C066" w14:textId="1986DFF7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6665EDAA" w14:textId="77777777" w:rsidTr="001F5B4A">
        <w:trPr>
          <w:cantSplit/>
        </w:trPr>
        <w:tc>
          <w:tcPr>
            <w:tcW w:w="3331" w:type="dxa"/>
          </w:tcPr>
          <w:p w14:paraId="333A410F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Standard pour l‘indicateur 2:</w:t>
            </w:r>
          </w:p>
        </w:tc>
        <w:tc>
          <w:tcPr>
            <w:tcW w:w="6095" w:type="dxa"/>
          </w:tcPr>
          <w:p w14:paraId="5CDEB22A" w14:textId="327042E4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07BF8F88" w14:textId="77777777" w:rsidTr="001F5B4A">
        <w:trPr>
          <w:cantSplit/>
        </w:trPr>
        <w:tc>
          <w:tcPr>
            <w:tcW w:w="3331" w:type="dxa"/>
          </w:tcPr>
          <w:p w14:paraId="6F5B8EFD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Méthodologie et instruments</w:t>
            </w:r>
          </w:p>
        </w:tc>
        <w:tc>
          <w:tcPr>
            <w:tcW w:w="6095" w:type="dxa"/>
          </w:tcPr>
          <w:p w14:paraId="7F30A1E3" w14:textId="77777777" w:rsidR="007056B0" w:rsidRPr="00034AFC" w:rsidRDefault="007056B0" w:rsidP="00BA7BA2">
            <w:pPr>
              <w:spacing w:before="120" w:after="120"/>
              <w:rPr>
                <w:rFonts w:eastAsia="Arial" w:cs="Times New Roman"/>
                <w:i/>
                <w:sz w:val="20"/>
                <w:szCs w:val="20"/>
                <w:lang w:val="fr-CH"/>
              </w:rPr>
            </w:pPr>
          </w:p>
        </w:tc>
      </w:tr>
      <w:tr w:rsidR="007056B0" w:rsidRPr="00BA7BA2" w14:paraId="604F5173" w14:textId="77777777" w:rsidTr="001F5B4A">
        <w:trPr>
          <w:cantSplit/>
        </w:trPr>
        <w:tc>
          <w:tcPr>
            <w:tcW w:w="3331" w:type="dxa"/>
            <w:shd w:val="clear" w:color="auto" w:fill="CCCCCC"/>
          </w:tcPr>
          <w:p w14:paraId="5AF216DE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t>Objectif 5 de la prestation:</w:t>
            </w:r>
          </w:p>
        </w:tc>
        <w:tc>
          <w:tcPr>
            <w:tcW w:w="6095" w:type="dxa"/>
            <w:shd w:val="clear" w:color="auto" w:fill="CCCCCC"/>
          </w:tcPr>
          <w:p w14:paraId="146420E9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sz w:val="20"/>
                <w:szCs w:val="20"/>
                <w:lang w:val="fr-CH"/>
              </w:rPr>
              <w:t>La famille d’origine est intégrée au déroulement du placement et au développement de l’enfant.</w:t>
            </w:r>
          </w:p>
        </w:tc>
      </w:tr>
      <w:tr w:rsidR="007056B0" w:rsidRPr="00BA7BA2" w14:paraId="1AB77E86" w14:textId="77777777" w:rsidTr="001F5B4A">
        <w:trPr>
          <w:cantSplit/>
        </w:trPr>
        <w:tc>
          <w:tcPr>
            <w:tcW w:w="3331" w:type="dxa"/>
          </w:tcPr>
          <w:p w14:paraId="5DF49B91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Indicateur 1 pour l’objectif  6</w:t>
            </w:r>
          </w:p>
        </w:tc>
        <w:tc>
          <w:tcPr>
            <w:tcW w:w="6095" w:type="dxa"/>
          </w:tcPr>
          <w:p w14:paraId="0C00EE02" w14:textId="2AE0AF7E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7B0DF11F" w14:textId="77777777" w:rsidTr="001F5B4A">
        <w:trPr>
          <w:cantSplit/>
        </w:trPr>
        <w:tc>
          <w:tcPr>
            <w:tcW w:w="3331" w:type="dxa"/>
          </w:tcPr>
          <w:p w14:paraId="0C7D8C36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Standard pour l’indicateur 1:</w:t>
            </w:r>
          </w:p>
        </w:tc>
        <w:tc>
          <w:tcPr>
            <w:tcW w:w="6095" w:type="dxa"/>
          </w:tcPr>
          <w:p w14:paraId="4778A991" w14:textId="542AC080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7ECFB9EA" w14:textId="77777777" w:rsidTr="001F5B4A">
        <w:trPr>
          <w:cantSplit/>
        </w:trPr>
        <w:tc>
          <w:tcPr>
            <w:tcW w:w="3331" w:type="dxa"/>
          </w:tcPr>
          <w:p w14:paraId="60E81D1C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Méthodologie et instruments</w:t>
            </w:r>
          </w:p>
        </w:tc>
        <w:tc>
          <w:tcPr>
            <w:tcW w:w="6095" w:type="dxa"/>
          </w:tcPr>
          <w:p w14:paraId="0ED0E437" w14:textId="77777777" w:rsidR="007056B0" w:rsidRPr="00034AFC" w:rsidRDefault="007056B0" w:rsidP="00BA7BA2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62063FA9" w14:textId="77777777" w:rsidTr="001F5B4A">
        <w:trPr>
          <w:cantSplit/>
        </w:trPr>
        <w:tc>
          <w:tcPr>
            <w:tcW w:w="3331" w:type="dxa"/>
            <w:shd w:val="clear" w:color="auto" w:fill="CCCCCC"/>
          </w:tcPr>
          <w:p w14:paraId="021C3F19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b/>
                <w:sz w:val="20"/>
                <w:szCs w:val="20"/>
                <w:lang w:val="fr-CH"/>
              </w:rPr>
              <w:lastRenderedPageBreak/>
              <w:t>Objectif 6 de la prestation:</w:t>
            </w:r>
          </w:p>
        </w:tc>
        <w:tc>
          <w:tcPr>
            <w:tcW w:w="6095" w:type="dxa"/>
            <w:shd w:val="clear" w:color="auto" w:fill="CCCCCC"/>
          </w:tcPr>
          <w:p w14:paraId="10AD4394" w14:textId="77777777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  <w:r w:rsidRPr="00034AFC">
              <w:rPr>
                <w:rFonts w:eastAsia="Arial" w:cs="Times New Roman"/>
                <w:sz w:val="20"/>
                <w:szCs w:val="20"/>
                <w:lang w:val="fr-CH"/>
              </w:rPr>
              <w:t xml:space="preserve">La famille d’origine assume sa responsabilité éducative de manière autonome. </w:t>
            </w:r>
          </w:p>
        </w:tc>
      </w:tr>
      <w:tr w:rsidR="007056B0" w:rsidRPr="00BA7BA2" w14:paraId="644AC551" w14:textId="77777777" w:rsidTr="001F5B4A">
        <w:trPr>
          <w:cantSplit/>
        </w:trPr>
        <w:tc>
          <w:tcPr>
            <w:tcW w:w="3331" w:type="dxa"/>
          </w:tcPr>
          <w:p w14:paraId="24C51E66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Indicateur 1 pour l’objectif 6:</w:t>
            </w:r>
          </w:p>
        </w:tc>
        <w:tc>
          <w:tcPr>
            <w:tcW w:w="6095" w:type="dxa"/>
          </w:tcPr>
          <w:p w14:paraId="392BE707" w14:textId="692CFC21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57FF71DE" w14:textId="77777777" w:rsidTr="001F5B4A">
        <w:trPr>
          <w:cantSplit/>
        </w:trPr>
        <w:tc>
          <w:tcPr>
            <w:tcW w:w="3331" w:type="dxa"/>
          </w:tcPr>
          <w:p w14:paraId="2380A319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Standard pour l’indicateur 1:</w:t>
            </w:r>
          </w:p>
        </w:tc>
        <w:tc>
          <w:tcPr>
            <w:tcW w:w="6095" w:type="dxa"/>
          </w:tcPr>
          <w:p w14:paraId="18FDB46D" w14:textId="3B5E39AF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  <w:tr w:rsidR="007056B0" w:rsidRPr="00BA7BA2" w14:paraId="391E4206" w14:textId="77777777" w:rsidTr="001F5B4A">
        <w:trPr>
          <w:cantSplit/>
        </w:trPr>
        <w:tc>
          <w:tcPr>
            <w:tcW w:w="3331" w:type="dxa"/>
          </w:tcPr>
          <w:p w14:paraId="7DC03B4B" w14:textId="77777777" w:rsidR="007056B0" w:rsidRPr="002766FE" w:rsidRDefault="007056B0" w:rsidP="00B306DA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fr-CH"/>
              </w:rPr>
            </w:pPr>
            <w:r w:rsidRPr="002766FE">
              <w:rPr>
                <w:rFonts w:eastAsia="Arial" w:cs="Times New Roman"/>
                <w:b/>
                <w:sz w:val="20"/>
                <w:szCs w:val="20"/>
                <w:lang w:val="fr-CH"/>
              </w:rPr>
              <w:t>Méthodologie et instruments</w:t>
            </w:r>
          </w:p>
        </w:tc>
        <w:tc>
          <w:tcPr>
            <w:tcW w:w="6095" w:type="dxa"/>
          </w:tcPr>
          <w:p w14:paraId="52AFB0CB" w14:textId="346C4ED6" w:rsidR="007056B0" w:rsidRPr="00034AFC" w:rsidRDefault="007056B0" w:rsidP="00B306DA">
            <w:pPr>
              <w:spacing w:before="120" w:after="120"/>
              <w:rPr>
                <w:rFonts w:eastAsia="Arial" w:cs="Times New Roman"/>
                <w:sz w:val="20"/>
                <w:szCs w:val="20"/>
                <w:lang w:val="fr-CH"/>
              </w:rPr>
            </w:pPr>
          </w:p>
        </w:tc>
      </w:tr>
    </w:tbl>
    <w:p w14:paraId="12F70A67" w14:textId="53BCBA30" w:rsidR="007056B0" w:rsidRPr="000B2CC1" w:rsidRDefault="007056B0" w:rsidP="00BA7BA2">
      <w:pPr>
        <w:pStyle w:val="Brieftitel"/>
        <w:rPr>
          <w:rFonts w:ascii="Arial" w:hAnsi="Arial" w:cstheme="minorBidi"/>
          <w:bCs w:val="0"/>
          <w:spacing w:val="0"/>
          <w:sz w:val="26"/>
          <w:lang w:val="fr-CH"/>
        </w:rPr>
      </w:pPr>
    </w:p>
    <w:sectPr w:rsidR="007056B0" w:rsidRPr="000B2CC1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04CB" w14:textId="77777777" w:rsidR="00D0207D" w:rsidRDefault="00D0207D" w:rsidP="00F91D37">
      <w:pPr>
        <w:spacing w:line="240" w:lineRule="auto"/>
      </w:pPr>
      <w:r>
        <w:separator/>
      </w:r>
    </w:p>
  </w:endnote>
  <w:endnote w:type="continuationSeparator" w:id="0">
    <w:p w14:paraId="214C3681" w14:textId="77777777" w:rsidR="00D0207D" w:rsidRDefault="00D0207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C586" w14:textId="77777777" w:rsidR="002F0964" w:rsidRDefault="002F09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C716" w14:textId="100AE935" w:rsidR="00797FDE" w:rsidRPr="00BD4A9C" w:rsidRDefault="006E6B34" w:rsidP="00632704">
    <w:pPr>
      <w:pStyle w:val="Fuzeile"/>
    </w:pPr>
    <w:r>
      <w:rPr>
        <w:rFonts w:ascii="Arial" w:eastAsia="Arial" w:hAnsi="Arial"/>
        <w:vanish/>
        <w:color w:val="7D9AA8" w:themeColor="accent1" w:themeTint="99"/>
        <w:lang w:val="fr-CH"/>
      </w:rPr>
      <w:fldChar w:fldCharType="begin"/>
    </w:r>
    <w:r w:rsidRPr="003476EB">
      <w:rPr>
        <w:rFonts w:ascii="Arial" w:eastAsia="Arial" w:hAnsi="Arial"/>
        <w:vanish/>
        <w:color w:val="7D9AA8" w:themeColor="accent1" w:themeTint="99"/>
      </w:rPr>
      <w:instrText xml:space="preserve"> REF  Klassifizierung </w:instrTex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separate"/>
    </w:r>
    <w:r w:rsidR="003476EB">
      <w:rPr>
        <w:rFonts w:ascii="Arial" w:eastAsia="Arial" w:hAnsi="Arial"/>
        <w:b/>
        <w:bCs w:val="0"/>
        <w:vanish/>
        <w:color w:val="7D9AA8" w:themeColor="accent1" w:themeTint="99"/>
        <w:lang w:val="de-DE"/>
      </w:rPr>
      <w:t>Fehler! Verweisquelle konnte nicht gefunden werden.</w: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6905688" wp14:editId="0A5473B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8666D" w14:textId="6F5CC4BC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B0010" w:rsidRPr="007B0010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B001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0568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1E38666D" w14:textId="6F5CC4BC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B0010" w:rsidRPr="007B0010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B001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393C" w14:textId="1949E931" w:rsidR="00797FDE" w:rsidRPr="00BC5092" w:rsidRDefault="00797FDE" w:rsidP="00BC5092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776AA2D3" wp14:editId="50F562D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AE572" w14:textId="127A8AA8"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B0010" w:rsidRPr="007B001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B001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AA2D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3B8AE572" w14:textId="127A8AA8"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B0010" w:rsidRPr="007B001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B001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1C6D" w14:textId="77777777" w:rsidR="00D0207D" w:rsidRDefault="00D0207D" w:rsidP="00F91D37">
      <w:pPr>
        <w:spacing w:line="240" w:lineRule="auto"/>
      </w:pPr>
    </w:p>
    <w:p w14:paraId="567751FF" w14:textId="77777777" w:rsidR="00D0207D" w:rsidRDefault="00D0207D" w:rsidP="00F91D37">
      <w:pPr>
        <w:spacing w:line="240" w:lineRule="auto"/>
      </w:pPr>
    </w:p>
  </w:footnote>
  <w:footnote w:type="continuationSeparator" w:id="0">
    <w:p w14:paraId="79F4E996" w14:textId="77777777" w:rsidR="00D0207D" w:rsidRDefault="00D0207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A40E" w14:textId="0AAAC268" w:rsidR="002F0964" w:rsidRDefault="002F09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264FE4" w:rsidRPr="00BA7BA2" w14:paraId="3FF42674" w14:textId="77777777" w:rsidTr="00D164B5">
      <w:tc>
        <w:tcPr>
          <w:tcW w:w="5100" w:type="dxa"/>
        </w:tcPr>
        <w:p w14:paraId="441000D6" w14:textId="7D404A60" w:rsidR="00264FE4" w:rsidRPr="00D5069D" w:rsidRDefault="00264FE4" w:rsidP="00264FE4">
          <w:pPr>
            <w:pStyle w:val="Kopfzeile"/>
            <w:rPr>
              <w:color w:val="FFFFFF" w:themeColor="background1"/>
            </w:rPr>
          </w:pPr>
          <w:r w:rsidRPr="00B0249E">
            <w:drawing>
              <wp:anchor distT="0" distB="0" distL="114300" distR="114300" simplePos="0" relativeHeight="251679743" behindDoc="0" locked="1" layoutInCell="1" allowOverlap="1" wp14:anchorId="26722DC7" wp14:editId="0552EA29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939600" cy="230400"/>
                <wp:effectExtent l="0" t="0" r="0" b="0"/>
                <wp:wrapNone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rift Kanton Bern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23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FCE86F" w14:textId="0C0A0452" w:rsidR="00264FE4" w:rsidRPr="00832D99" w:rsidRDefault="00264FE4" w:rsidP="00264FE4">
          <w:pPr>
            <w:pStyle w:val="Kopfzeile"/>
          </w:pPr>
        </w:p>
      </w:tc>
      <w:tc>
        <w:tcPr>
          <w:tcW w:w="4878" w:type="dxa"/>
        </w:tcPr>
        <w:p w14:paraId="656DCA3B" w14:textId="7DBBD0C2" w:rsidR="00264FE4" w:rsidRPr="00DD0EBC" w:rsidRDefault="00264FE4" w:rsidP="00264FE4">
          <w:pPr>
            <w:pStyle w:val="Kopfzeile"/>
            <w:rPr>
              <w:lang w:val="fr-CH"/>
            </w:rPr>
          </w:pPr>
          <w:r>
            <w:rPr>
              <w:lang w:val="fr-CH"/>
            </w:rPr>
            <w:t>P</w:t>
          </w:r>
          <w:r w:rsidRPr="00264FE4">
            <w:rPr>
              <w:lang w:val="fr-CH"/>
            </w:rPr>
            <w:t>restation: suivi socio-pédagogique des placements durant la semaine</w:t>
          </w:r>
        </w:p>
      </w:tc>
    </w:tr>
  </w:tbl>
  <w:p w14:paraId="12F1102F" w14:textId="53F0CEA5" w:rsidR="00797FDE" w:rsidRPr="00264FE4" w:rsidRDefault="00797FDE" w:rsidP="00B06CAA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8F32" w14:textId="14368576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64E78120" wp14:editId="2051A66F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D02F1"/>
    <w:multiLevelType w:val="hybridMultilevel"/>
    <w:tmpl w:val="472A69A0"/>
    <w:lvl w:ilvl="0" w:tplc="21CE35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A49EE"/>
    <w:multiLevelType w:val="hybridMultilevel"/>
    <w:tmpl w:val="DB1C3B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10EDC"/>
    <w:multiLevelType w:val="hybridMultilevel"/>
    <w:tmpl w:val="4D18F3BC"/>
    <w:lvl w:ilvl="0" w:tplc="55D2AB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  <w:num w:numId="24">
    <w:abstractNumId w:val="18"/>
  </w:num>
  <w:num w:numId="25">
    <w:abstractNumId w:val="22"/>
  </w:num>
  <w:num w:numId="26">
    <w:abstractNumId w:val="17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D0207D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2CC1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0A9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80322"/>
    <w:rsid w:val="00183D19"/>
    <w:rsid w:val="00190A82"/>
    <w:rsid w:val="00196ABC"/>
    <w:rsid w:val="00196B03"/>
    <w:rsid w:val="00196C0B"/>
    <w:rsid w:val="001A0029"/>
    <w:rsid w:val="001A16CB"/>
    <w:rsid w:val="001A666F"/>
    <w:rsid w:val="001B166D"/>
    <w:rsid w:val="001B1F85"/>
    <w:rsid w:val="001B4DBF"/>
    <w:rsid w:val="001B5E85"/>
    <w:rsid w:val="001C39A1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4FE4"/>
    <w:rsid w:val="00266772"/>
    <w:rsid w:val="00267F71"/>
    <w:rsid w:val="002712AE"/>
    <w:rsid w:val="002766FE"/>
    <w:rsid w:val="002770BA"/>
    <w:rsid w:val="0028546A"/>
    <w:rsid w:val="00290E37"/>
    <w:rsid w:val="0029375B"/>
    <w:rsid w:val="002941D2"/>
    <w:rsid w:val="002945F1"/>
    <w:rsid w:val="00295DEC"/>
    <w:rsid w:val="002A3098"/>
    <w:rsid w:val="002A37A4"/>
    <w:rsid w:val="002B79B9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0964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476EB"/>
    <w:rsid w:val="003514EE"/>
    <w:rsid w:val="00351B75"/>
    <w:rsid w:val="00363671"/>
    <w:rsid w:val="003649DD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892"/>
    <w:rsid w:val="003B2CBD"/>
    <w:rsid w:val="003B4BF5"/>
    <w:rsid w:val="003D0FAA"/>
    <w:rsid w:val="003D1066"/>
    <w:rsid w:val="003D4FCF"/>
    <w:rsid w:val="003D5383"/>
    <w:rsid w:val="003E0D7F"/>
    <w:rsid w:val="003E7F5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46C90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3EE5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5FE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07AD"/>
    <w:rsid w:val="005D161E"/>
    <w:rsid w:val="005D4FBB"/>
    <w:rsid w:val="005D682F"/>
    <w:rsid w:val="005E3592"/>
    <w:rsid w:val="005E46D2"/>
    <w:rsid w:val="005E74A9"/>
    <w:rsid w:val="005F60CA"/>
    <w:rsid w:val="005F64F0"/>
    <w:rsid w:val="006009F8"/>
    <w:rsid w:val="00601228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27E66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43E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7AE3"/>
    <w:rsid w:val="006C055A"/>
    <w:rsid w:val="006C144C"/>
    <w:rsid w:val="006C1669"/>
    <w:rsid w:val="006C1863"/>
    <w:rsid w:val="006E0F4E"/>
    <w:rsid w:val="006E354E"/>
    <w:rsid w:val="006E6B3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6B0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0FD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0308"/>
    <w:rsid w:val="00783544"/>
    <w:rsid w:val="00784279"/>
    <w:rsid w:val="00786EF3"/>
    <w:rsid w:val="00787D98"/>
    <w:rsid w:val="00790ED9"/>
    <w:rsid w:val="00794A0C"/>
    <w:rsid w:val="00796CEE"/>
    <w:rsid w:val="00797FDE"/>
    <w:rsid w:val="007A3524"/>
    <w:rsid w:val="007A6304"/>
    <w:rsid w:val="007A779A"/>
    <w:rsid w:val="007B0010"/>
    <w:rsid w:val="007B0A9B"/>
    <w:rsid w:val="007B0D94"/>
    <w:rsid w:val="007B2D50"/>
    <w:rsid w:val="007C0B2A"/>
    <w:rsid w:val="007D06C7"/>
    <w:rsid w:val="007D6F53"/>
    <w:rsid w:val="007E0460"/>
    <w:rsid w:val="007E15F9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27ACA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6DB7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915"/>
    <w:rsid w:val="00935A5B"/>
    <w:rsid w:val="0093619F"/>
    <w:rsid w:val="009427E5"/>
    <w:rsid w:val="009454B7"/>
    <w:rsid w:val="00955032"/>
    <w:rsid w:val="009568A7"/>
    <w:rsid w:val="009613D8"/>
    <w:rsid w:val="00961618"/>
    <w:rsid w:val="009622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B9C"/>
    <w:rsid w:val="00A06F53"/>
    <w:rsid w:val="00A12B05"/>
    <w:rsid w:val="00A12E3A"/>
    <w:rsid w:val="00A15841"/>
    <w:rsid w:val="00A26A74"/>
    <w:rsid w:val="00A3529C"/>
    <w:rsid w:val="00A35A36"/>
    <w:rsid w:val="00A36ED7"/>
    <w:rsid w:val="00A4441C"/>
    <w:rsid w:val="00A45E6C"/>
    <w:rsid w:val="00A5451D"/>
    <w:rsid w:val="00A54B8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06CAA"/>
    <w:rsid w:val="00B11A9B"/>
    <w:rsid w:val="00B124A3"/>
    <w:rsid w:val="00B140B2"/>
    <w:rsid w:val="00B20BFC"/>
    <w:rsid w:val="00B225B2"/>
    <w:rsid w:val="00B306DA"/>
    <w:rsid w:val="00B327F1"/>
    <w:rsid w:val="00B32ABB"/>
    <w:rsid w:val="00B33759"/>
    <w:rsid w:val="00B41FD3"/>
    <w:rsid w:val="00B426D3"/>
    <w:rsid w:val="00B431DE"/>
    <w:rsid w:val="00B451BB"/>
    <w:rsid w:val="00B452C0"/>
    <w:rsid w:val="00B54152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A7BA2"/>
    <w:rsid w:val="00BB49D5"/>
    <w:rsid w:val="00BB6C6A"/>
    <w:rsid w:val="00BC3E90"/>
    <w:rsid w:val="00BC5092"/>
    <w:rsid w:val="00BC655F"/>
    <w:rsid w:val="00BD3717"/>
    <w:rsid w:val="00BD4A9C"/>
    <w:rsid w:val="00BE1E62"/>
    <w:rsid w:val="00BF7052"/>
    <w:rsid w:val="00C034B4"/>
    <w:rsid w:val="00C05FAB"/>
    <w:rsid w:val="00C14A87"/>
    <w:rsid w:val="00C1704D"/>
    <w:rsid w:val="00C173B3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27FAA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2E"/>
    <w:rsid w:val="00C573A1"/>
    <w:rsid w:val="00C57571"/>
    <w:rsid w:val="00C613E9"/>
    <w:rsid w:val="00C72351"/>
    <w:rsid w:val="00C7482A"/>
    <w:rsid w:val="00C74920"/>
    <w:rsid w:val="00C75D29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207D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0385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608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1840"/>
    <w:rsid w:val="00EE6E36"/>
    <w:rsid w:val="00EF1AEA"/>
    <w:rsid w:val="00EF5E4D"/>
    <w:rsid w:val="00EF6350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577D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51EE"/>
    <w:rsid w:val="00FA5E8F"/>
    <w:rsid w:val="00FB239D"/>
    <w:rsid w:val="00FB5828"/>
    <w:rsid w:val="00FB657F"/>
    <w:rsid w:val="00FB7DDF"/>
    <w:rsid w:val="00FC5023"/>
    <w:rsid w:val="00FD2271"/>
    <w:rsid w:val="00FD6290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09CC52C"/>
  <w15:docId w15:val="{B6DC96E1-05FF-408D-A34C-0B313AA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07D"/>
    <w:pPr>
      <w:spacing w:after="220" w:line="240" w:lineRule="auto"/>
    </w:pPr>
    <w:rPr>
      <w:rFonts w:ascii="Arial" w:hAnsi="Arial" w:cs="Times New Roman"/>
      <w:bCs w:val="0"/>
      <w:spacing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207D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Benutzerdefiniert 2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423211C-B683-4B8F-B598-79636F69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Prestation: suivi socio-pédagogique des placements durant la semaine</vt:lpstr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Prestation: suivi socio-pédagogique des placements durant la semaine</dc:title>
  <dc:creator>OM</dc:creator>
  <dc:description>numéro de document</dc:description>
  <cp:lastModifiedBy>Habegger Manuel, DIJ-KJA</cp:lastModifiedBy>
  <cp:revision>2</cp:revision>
  <cp:lastPrinted>2020-10-07T10:57:00Z</cp:lastPrinted>
  <dcterms:created xsi:type="dcterms:W3CDTF">2021-10-05T14:35:00Z</dcterms:created>
  <dcterms:modified xsi:type="dcterms:W3CDTF">2021-10-05T14:35:00Z</dcterms:modified>
</cp:coreProperties>
</file>