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D0207D" w:rsidRPr="001C39A1" w14:paraId="7D1E8311" w14:textId="77777777" w:rsidTr="0007095A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14:paraId="1894A3FD" w14:textId="77777777" w:rsidR="00D0207D" w:rsidRPr="001C39A1" w:rsidRDefault="00D0207D" w:rsidP="0007095A">
            <w:pPr>
              <w:pStyle w:val="Texte85pt"/>
              <w:rPr>
                <w:lang w:val="fr-CH"/>
              </w:rPr>
            </w:pPr>
            <w:r w:rsidRPr="001C39A1">
              <w:rPr>
                <w:lang w:val="fr-CH"/>
              </w:rPr>
              <w:t>Direction de l’intérieur et de la justice</w:t>
            </w:r>
          </w:p>
          <w:p w14:paraId="1963E83F" w14:textId="77777777" w:rsidR="00D0207D" w:rsidRPr="001C39A1" w:rsidRDefault="00D0207D" w:rsidP="001B4DBF">
            <w:pPr>
              <w:pStyle w:val="Texte85pt"/>
              <w:rPr>
                <w:lang w:val="fr-CH"/>
              </w:rPr>
            </w:pPr>
            <w:r w:rsidRPr="001C39A1">
              <w:rPr>
                <w:lang w:val="fr-CH"/>
              </w:rPr>
              <w:t>Office des mineurs</w:t>
            </w:r>
          </w:p>
          <w:p w14:paraId="28D1695E" w14:textId="77777777" w:rsidR="00D0207D" w:rsidRPr="001C39A1" w:rsidRDefault="00D0207D" w:rsidP="001B4DBF">
            <w:pPr>
              <w:pStyle w:val="Texte85pt"/>
              <w:rPr>
                <w:lang w:val="fr-CH"/>
              </w:rPr>
            </w:pPr>
          </w:p>
          <w:p w14:paraId="04C402A2" w14:textId="77777777" w:rsidR="00D0207D" w:rsidRPr="001C39A1" w:rsidRDefault="00D0207D" w:rsidP="0007095A">
            <w:pPr>
              <w:pStyle w:val="Texte85pt"/>
              <w:rPr>
                <w:lang w:val="fr-CH"/>
              </w:rPr>
            </w:pPr>
            <w:proofErr w:type="spellStart"/>
            <w:r w:rsidRPr="001C39A1">
              <w:rPr>
                <w:lang w:val="fr-CH"/>
              </w:rPr>
              <w:t>Hallerstrasse</w:t>
            </w:r>
            <w:proofErr w:type="spellEnd"/>
            <w:r w:rsidRPr="001C39A1">
              <w:rPr>
                <w:lang w:val="fr-CH"/>
              </w:rPr>
              <w:t xml:space="preserve"> 5</w:t>
            </w:r>
          </w:p>
          <w:p w14:paraId="6EA5BF44" w14:textId="77777777" w:rsidR="00D0207D" w:rsidRPr="001C39A1" w:rsidRDefault="00D0207D" w:rsidP="0007095A">
            <w:pPr>
              <w:pStyle w:val="Texte85pt"/>
              <w:rPr>
                <w:lang w:val="fr-CH"/>
              </w:rPr>
            </w:pPr>
            <w:r w:rsidRPr="001C39A1">
              <w:rPr>
                <w:lang w:val="fr-CH"/>
              </w:rPr>
              <w:t>Case postale</w:t>
            </w:r>
          </w:p>
          <w:p w14:paraId="67A7794E" w14:textId="77777777" w:rsidR="00D0207D" w:rsidRPr="00627E66" w:rsidRDefault="00D0207D" w:rsidP="0007095A">
            <w:pPr>
              <w:pStyle w:val="Texte85pt"/>
              <w:rPr>
                <w:lang w:val="de-DE"/>
              </w:rPr>
            </w:pPr>
            <w:r w:rsidRPr="00627E66">
              <w:rPr>
                <w:lang w:val="de-DE"/>
              </w:rPr>
              <w:t xml:space="preserve">3001 </w:t>
            </w:r>
            <w:proofErr w:type="spellStart"/>
            <w:r w:rsidRPr="00627E66">
              <w:rPr>
                <w:lang w:val="de-DE"/>
              </w:rPr>
              <w:t>Berne</w:t>
            </w:r>
            <w:proofErr w:type="spellEnd"/>
          </w:p>
          <w:p w14:paraId="1EE58ADE" w14:textId="77777777" w:rsidR="00D0207D" w:rsidRPr="00627E66" w:rsidRDefault="00D0207D" w:rsidP="0007095A">
            <w:pPr>
              <w:pStyle w:val="Texte85pt"/>
              <w:rPr>
                <w:lang w:val="de-DE"/>
              </w:rPr>
            </w:pPr>
            <w:r w:rsidRPr="00627E66">
              <w:rPr>
                <w:lang w:val="de-DE"/>
              </w:rPr>
              <w:t>+41 31 633 76 33</w:t>
            </w:r>
          </w:p>
          <w:p w14:paraId="670D1ED8" w14:textId="77777777" w:rsidR="00D0207D" w:rsidRPr="00627E66" w:rsidRDefault="00D0207D" w:rsidP="0007095A">
            <w:pPr>
              <w:pStyle w:val="Texte85pt"/>
              <w:rPr>
                <w:lang w:val="de-DE"/>
              </w:rPr>
            </w:pPr>
            <w:r w:rsidRPr="00627E66">
              <w:rPr>
                <w:lang w:val="de-DE"/>
              </w:rPr>
              <w:t>kja-bern@be.ch</w:t>
            </w:r>
          </w:p>
          <w:p w14:paraId="7D652725" w14:textId="77777777" w:rsidR="00D0207D" w:rsidRPr="00627E66" w:rsidRDefault="00D0207D" w:rsidP="0007095A">
            <w:pPr>
              <w:pStyle w:val="Texte85pt"/>
              <w:rPr>
                <w:lang w:val="de-DE"/>
              </w:rPr>
            </w:pPr>
            <w:r w:rsidRPr="00627E66">
              <w:rPr>
                <w:lang w:val="de-DE"/>
              </w:rPr>
              <w:t>www.be.ch/om</w:t>
            </w:r>
          </w:p>
          <w:p w14:paraId="2C9BBF1D" w14:textId="77777777" w:rsidR="00D0207D" w:rsidRPr="00627E66" w:rsidRDefault="00D0207D" w:rsidP="0007095A">
            <w:pPr>
              <w:pStyle w:val="Texte85pt"/>
              <w:rPr>
                <w:lang w:val="de-DE"/>
              </w:rPr>
            </w:pPr>
          </w:p>
          <w:p w14:paraId="6DFF7AFF" w14:textId="77777777" w:rsidR="00D0207D" w:rsidRPr="00627E66" w:rsidRDefault="00D0207D" w:rsidP="008D57E8">
            <w:pPr>
              <w:pStyle w:val="Texte85pt"/>
              <w:rPr>
                <w:lang w:val="de-DE"/>
              </w:rPr>
            </w:pPr>
          </w:p>
        </w:tc>
      </w:tr>
      <w:tr w:rsidR="00D0207D" w:rsidRPr="001C39A1" w14:paraId="3E159EEB" w14:textId="77777777" w:rsidTr="00D0207D">
        <w:trPr>
          <w:gridAfter w:val="1"/>
          <w:wAfter w:w="4876" w:type="dxa"/>
          <w:trHeight w:val="1366"/>
        </w:trPr>
        <w:tc>
          <w:tcPr>
            <w:tcW w:w="5102" w:type="dxa"/>
            <w:vMerge/>
          </w:tcPr>
          <w:p w14:paraId="16971BE3" w14:textId="77777777" w:rsidR="00D0207D" w:rsidRPr="00627E66" w:rsidRDefault="00D0207D" w:rsidP="0007095A">
            <w:pPr>
              <w:rPr>
                <w:lang w:val="de-DE"/>
              </w:rPr>
            </w:pPr>
          </w:p>
        </w:tc>
      </w:tr>
      <w:tr w:rsidR="00AA0E6D" w:rsidRPr="001C39A1" w14:paraId="020C6732" w14:textId="77777777" w:rsidTr="0007095A">
        <w:trPr>
          <w:trHeight w:val="283"/>
        </w:trPr>
        <w:tc>
          <w:tcPr>
            <w:tcW w:w="5102" w:type="dxa"/>
            <w:vMerge/>
          </w:tcPr>
          <w:p w14:paraId="5E7E73D6" w14:textId="77777777" w:rsidR="00AA0E6D" w:rsidRPr="00627E66" w:rsidRDefault="00AA0E6D" w:rsidP="0007095A">
            <w:pPr>
              <w:rPr>
                <w:lang w:val="de-DE"/>
              </w:rPr>
            </w:pPr>
          </w:p>
        </w:tc>
        <w:tc>
          <w:tcPr>
            <w:tcW w:w="4876" w:type="dxa"/>
          </w:tcPr>
          <w:p w14:paraId="342ECA1C" w14:textId="77777777" w:rsidR="00AA0E6D" w:rsidRPr="00627E66" w:rsidRDefault="00AA0E6D" w:rsidP="0007095A">
            <w:pPr>
              <w:pStyle w:val="Texte85pt"/>
              <w:rPr>
                <w:lang w:val="de-DE"/>
              </w:rPr>
            </w:pPr>
          </w:p>
        </w:tc>
      </w:tr>
      <w:tr w:rsidR="00AA0E6D" w:rsidRPr="001C39A1" w14:paraId="3AB64E36" w14:textId="77777777" w:rsidTr="0007095A">
        <w:trPr>
          <w:trHeight w:val="20"/>
        </w:trPr>
        <w:tc>
          <w:tcPr>
            <w:tcW w:w="5102" w:type="dxa"/>
          </w:tcPr>
          <w:p w14:paraId="30DFA688" w14:textId="77777777" w:rsidR="00AA0E6D" w:rsidRPr="00627E66" w:rsidRDefault="00AA0E6D" w:rsidP="004C3EE5">
            <w:pPr>
              <w:pStyle w:val="Texte85pt"/>
              <w:rPr>
                <w:lang w:val="de-DE"/>
              </w:rPr>
            </w:pPr>
          </w:p>
        </w:tc>
        <w:tc>
          <w:tcPr>
            <w:tcW w:w="4876" w:type="dxa"/>
          </w:tcPr>
          <w:p w14:paraId="0F04802F" w14:textId="241176E4" w:rsidR="00AA0E6D" w:rsidRPr="008242A5" w:rsidRDefault="00AA0E6D" w:rsidP="00D0207D">
            <w:pPr>
              <w:pStyle w:val="Texte85pt"/>
            </w:pPr>
          </w:p>
        </w:tc>
      </w:tr>
    </w:tbl>
    <w:p w14:paraId="7EE33DDD" w14:textId="2150A948" w:rsidR="00AA0E6D" w:rsidRPr="001C39A1" w:rsidRDefault="00423D03" w:rsidP="00180322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lang w:val="fr-CH"/>
        </w:rPr>
      </w:pPr>
      <w:sdt>
        <w:sdtPr>
          <w:rPr>
            <w:rFonts w:ascii="Arial" w:hAnsi="Arial" w:cstheme="minorBidi"/>
            <w:bCs w:val="0"/>
            <w:spacing w:val="0"/>
            <w:sz w:val="26"/>
            <w:lang w:val="fr-CH"/>
          </w:rPr>
          <w:id w:val="1455761124"/>
          <w:placeholder>
            <w:docPart w:val="9CD8E65C85CE495F913274DDB1887003"/>
          </w:placeholder>
          <w:text w:multiLine="1"/>
        </w:sdtPr>
        <w:sdtEndPr/>
        <w:sdtContent>
          <w:r w:rsidR="00D0207D" w:rsidRPr="001C39A1">
            <w:rPr>
              <w:rFonts w:ascii="Arial" w:hAnsi="Arial" w:cstheme="minorBidi"/>
              <w:bCs w:val="0"/>
              <w:spacing w:val="0"/>
              <w:sz w:val="26"/>
              <w:lang w:val="fr-CH"/>
            </w:rPr>
            <w:t>Prestation: suivi ambulatoire post-</w:t>
          </w:r>
          <w:r w:rsidR="00222F06">
            <w:rPr>
              <w:rFonts w:ascii="Arial" w:hAnsi="Arial" w:cstheme="minorBidi"/>
              <w:bCs w:val="0"/>
              <w:spacing w:val="0"/>
              <w:sz w:val="26"/>
              <w:lang w:val="fr-CH"/>
            </w:rPr>
            <w:t xml:space="preserve">résidentiel </w:t>
          </w:r>
        </w:sdtContent>
      </w:sdt>
    </w:p>
    <w:p w14:paraId="6EC935BA" w14:textId="77777777" w:rsidR="00AA0E6D" w:rsidRPr="001C39A1" w:rsidRDefault="00AA0E6D" w:rsidP="00AA0E6D">
      <w:pPr>
        <w:pStyle w:val="Brieftext"/>
        <w:rPr>
          <w:lang w:val="fr-CH"/>
        </w:rPr>
      </w:pPr>
    </w:p>
    <w:p w14:paraId="381F16E2" w14:textId="77777777" w:rsidR="00D0207D" w:rsidRPr="001C39A1" w:rsidRDefault="00D0207D" w:rsidP="00D0207D">
      <w:pPr>
        <w:spacing w:after="220" w:line="280" w:lineRule="atLeast"/>
        <w:rPr>
          <w:rFonts w:ascii="Arial" w:eastAsia="Arial" w:hAnsi="Arial" w:cs="Times New Roman"/>
          <w:bCs w:val="0"/>
          <w:spacing w:val="0"/>
          <w:sz w:val="22"/>
          <w:lang w:val="fr-CH"/>
        </w:rPr>
      </w:pPr>
      <w:r w:rsidRPr="001C39A1">
        <w:rPr>
          <w:rFonts w:ascii="Arial" w:eastAsia="Arial" w:hAnsi="Arial" w:cs="Times New Roman"/>
          <w:bCs w:val="0"/>
          <w:spacing w:val="0"/>
          <w:sz w:val="22"/>
          <w:lang w:val="fr-CH"/>
        </w:rPr>
        <w:t>Ces prestations se caractérisent avant tout par les éléments suivants:</w:t>
      </w:r>
    </w:p>
    <w:p w14:paraId="1BBDAEC0" w14:textId="77777777" w:rsidR="00D0207D" w:rsidRPr="001C39A1" w:rsidRDefault="00D0207D" w:rsidP="00D0207D">
      <w:pPr>
        <w:numPr>
          <w:ilvl w:val="0"/>
          <w:numId w:val="27"/>
        </w:numPr>
        <w:spacing w:after="220" w:line="280" w:lineRule="atLeast"/>
        <w:contextualSpacing/>
        <w:rPr>
          <w:rFonts w:ascii="Arial" w:eastAsia="Arial" w:hAnsi="Arial" w:cs="Times New Roman"/>
          <w:bCs w:val="0"/>
          <w:spacing w:val="0"/>
          <w:sz w:val="22"/>
          <w:lang w:val="fr-CH"/>
        </w:rPr>
      </w:pPr>
      <w:r w:rsidRPr="001C39A1">
        <w:rPr>
          <w:rFonts w:ascii="Arial" w:eastAsia="Arial" w:hAnsi="Arial" w:cs="Times New Roman"/>
          <w:bCs w:val="0"/>
          <w:spacing w:val="0"/>
          <w:sz w:val="22"/>
          <w:lang w:val="fr-CH"/>
        </w:rPr>
        <w:t>Le suivi intervient dès la fin d’un séjour effectué dans une institution.</w:t>
      </w:r>
    </w:p>
    <w:p w14:paraId="56E5BCA3" w14:textId="77777777" w:rsidR="00D0207D" w:rsidRPr="001C39A1" w:rsidRDefault="00D0207D" w:rsidP="00D0207D">
      <w:pPr>
        <w:numPr>
          <w:ilvl w:val="0"/>
          <w:numId w:val="27"/>
        </w:numPr>
        <w:spacing w:after="220" w:line="280" w:lineRule="atLeast"/>
        <w:contextualSpacing/>
        <w:rPr>
          <w:rFonts w:ascii="Arial" w:eastAsia="Arial" w:hAnsi="Arial" w:cs="Times New Roman"/>
          <w:bCs w:val="0"/>
          <w:spacing w:val="0"/>
          <w:sz w:val="22"/>
          <w:lang w:val="fr-CH"/>
        </w:rPr>
      </w:pPr>
      <w:r w:rsidRPr="001C39A1">
        <w:rPr>
          <w:rFonts w:ascii="Arial" w:eastAsia="Arial" w:hAnsi="Arial" w:cs="Times New Roman"/>
          <w:bCs w:val="0"/>
          <w:spacing w:val="0"/>
          <w:sz w:val="22"/>
          <w:lang w:val="fr-CH"/>
        </w:rPr>
        <w:t>Les détenteurs de l’autorité parentale ou une famille d’accueil ont la garde de l’enfant, à moins qu’il s’agisse de jeunes adultes (majeurs).</w:t>
      </w:r>
    </w:p>
    <w:p w14:paraId="46829E98" w14:textId="77777777" w:rsidR="00D0207D" w:rsidRPr="001C39A1" w:rsidRDefault="00D0207D" w:rsidP="00D0207D">
      <w:pPr>
        <w:numPr>
          <w:ilvl w:val="0"/>
          <w:numId w:val="27"/>
        </w:numPr>
        <w:spacing w:after="220" w:line="280" w:lineRule="atLeast"/>
        <w:contextualSpacing/>
        <w:rPr>
          <w:rFonts w:ascii="Arial" w:eastAsia="Arial" w:hAnsi="Arial" w:cs="Times New Roman"/>
          <w:bCs w:val="0"/>
          <w:spacing w:val="0"/>
          <w:sz w:val="22"/>
          <w:lang w:val="fr-CH"/>
        </w:rPr>
      </w:pPr>
      <w:r w:rsidRPr="001C39A1">
        <w:rPr>
          <w:rFonts w:ascii="Arial" w:eastAsia="Arial" w:hAnsi="Arial" w:cs="Times New Roman"/>
          <w:bCs w:val="0"/>
          <w:spacing w:val="0"/>
          <w:sz w:val="22"/>
          <w:lang w:val="fr-CH"/>
        </w:rPr>
        <w:t>Les personnes ayant une obligation d’entretien conservent leur responsabilité (notamment: frais de logement, de nourriture, dépenses personnelles). Il se peut que l’aide sociale matérielle intervienne à titre subsidiaire.</w:t>
      </w:r>
    </w:p>
    <w:p w14:paraId="1C0AFDD8" w14:textId="77777777" w:rsidR="00D0207D" w:rsidRPr="001C39A1" w:rsidRDefault="00D0207D" w:rsidP="00D0207D">
      <w:pPr>
        <w:spacing w:line="280" w:lineRule="atLeast"/>
        <w:rPr>
          <w:rFonts w:ascii="Arial" w:eastAsia="Arial" w:hAnsi="Arial" w:cs="Times New Roman"/>
          <w:bCs w:val="0"/>
          <w:spacing w:val="0"/>
          <w:sz w:val="22"/>
          <w:lang w:val="fr-CH"/>
        </w:rPr>
      </w:pPr>
      <w:r w:rsidRPr="001C39A1">
        <w:rPr>
          <w:rFonts w:ascii="Arial" w:eastAsia="Arial" w:hAnsi="Arial" w:cs="Times New Roman"/>
          <w:bCs w:val="0"/>
          <w:spacing w:val="0"/>
          <w:sz w:val="22"/>
          <w:lang w:val="fr-CH"/>
        </w:rPr>
        <w:t xml:space="preserve">Les prestations ambulatoires faisant suite à une prestation résidentielle doivent figurer dans le programme de l’institution et sont soumises au </w:t>
      </w:r>
      <w:proofErr w:type="spellStart"/>
      <w:r w:rsidRPr="001C39A1">
        <w:rPr>
          <w:rFonts w:ascii="Arial" w:eastAsia="Arial" w:hAnsi="Arial" w:cs="Times New Roman"/>
          <w:bCs w:val="0"/>
          <w:spacing w:val="0"/>
          <w:sz w:val="22"/>
          <w:lang w:val="fr-CH"/>
        </w:rPr>
        <w:t>controlling</w:t>
      </w:r>
      <w:proofErr w:type="spellEnd"/>
      <w:r w:rsidRPr="001C39A1">
        <w:rPr>
          <w:rFonts w:ascii="Arial" w:eastAsia="Arial" w:hAnsi="Arial" w:cs="Times New Roman"/>
          <w:bCs w:val="0"/>
          <w:spacing w:val="0"/>
          <w:sz w:val="22"/>
          <w:lang w:val="fr-CH"/>
        </w:rPr>
        <w:t xml:space="preserve"> des prestations.</w:t>
      </w:r>
    </w:p>
    <w:p w14:paraId="6CB90C07" w14:textId="77777777" w:rsidR="00D0207D" w:rsidRPr="001C39A1" w:rsidRDefault="00D0207D" w:rsidP="00D0207D">
      <w:pPr>
        <w:spacing w:line="280" w:lineRule="atLeast"/>
        <w:rPr>
          <w:rFonts w:ascii="Arial" w:eastAsia="Arial" w:hAnsi="Arial" w:cs="Times New Roman"/>
          <w:bCs w:val="0"/>
          <w:spacing w:val="0"/>
          <w:sz w:val="22"/>
          <w:lang w:val="fr-CH"/>
        </w:rPr>
      </w:pPr>
    </w:p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54"/>
      </w:tblGrid>
      <w:tr w:rsidR="00D0207D" w:rsidRPr="00222F06" w14:paraId="174A604D" w14:textId="77777777" w:rsidTr="00BA2239">
        <w:trPr>
          <w:cantSplit/>
        </w:trPr>
        <w:tc>
          <w:tcPr>
            <w:tcW w:w="3331" w:type="dxa"/>
          </w:tcPr>
          <w:p w14:paraId="120F4A1A" w14:textId="77777777" w:rsidR="00D0207D" w:rsidRPr="001C39A1" w:rsidRDefault="00D0207D" w:rsidP="00D0207D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Catalogue de prestations: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8E1A" w14:textId="77777777" w:rsidR="00D0207D" w:rsidRPr="001C39A1" w:rsidRDefault="00D0207D" w:rsidP="00D0207D">
            <w:pPr>
              <w:tabs>
                <w:tab w:val="right" w:pos="14175"/>
              </w:tabs>
              <w:spacing w:before="100" w:after="100" w:line="280" w:lineRule="atLeast"/>
              <w:jc w:val="center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 xml:space="preserve">Prestation ambulatoire faisant suite à une prestation résidentielle </w:t>
            </w:r>
          </w:p>
        </w:tc>
      </w:tr>
    </w:tbl>
    <w:p w14:paraId="1B5D3055" w14:textId="77777777" w:rsidR="00D0207D" w:rsidRPr="001C39A1" w:rsidRDefault="00D0207D" w:rsidP="00D0207D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fr-CH"/>
        </w:rPr>
      </w:pPr>
    </w:p>
    <w:tbl>
      <w:tblPr>
        <w:tblW w:w="9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  <w:gridCol w:w="14"/>
      </w:tblGrid>
      <w:tr w:rsidR="00D0207D" w:rsidRPr="00222F06" w14:paraId="59E086CD" w14:textId="77777777" w:rsidTr="00BA2239">
        <w:trPr>
          <w:gridAfter w:val="1"/>
          <w:wAfter w:w="14" w:type="dxa"/>
          <w:cantSplit/>
        </w:trPr>
        <w:tc>
          <w:tcPr>
            <w:tcW w:w="3331" w:type="dxa"/>
          </w:tcPr>
          <w:p w14:paraId="6113F5DB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Descriptif de la prestation:</w:t>
            </w:r>
          </w:p>
        </w:tc>
        <w:tc>
          <w:tcPr>
            <w:tcW w:w="6468" w:type="dxa"/>
          </w:tcPr>
          <w:p w14:paraId="55CBCF9D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Les enfants, les adolescents et les membres de leur entourage social sont accompagnés et soutenus, par des mesures socio-pédagogiques, après la sortie de l’institution, pendant une période de durée limitée.</w:t>
            </w:r>
          </w:p>
          <w:p w14:paraId="06E899F2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Variantes:</w:t>
            </w:r>
          </w:p>
          <w:p w14:paraId="24669F93" w14:textId="14C18333" w:rsidR="00D0207D" w:rsidRPr="001C39A1" w:rsidRDefault="00D0207D" w:rsidP="00D0207D">
            <w:pPr>
              <w:numPr>
                <w:ilvl w:val="0"/>
                <w:numId w:val="26"/>
              </w:numPr>
              <w:tabs>
                <w:tab w:val="right" w:pos="14175"/>
              </w:tabs>
              <w:spacing w:before="120" w:after="120" w:line="240" w:lineRule="atLeast"/>
              <w:contextualSpacing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Suivi post-</w:t>
            </w:r>
            <w:r w:rsidR="00222F06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résidentiel </w:t>
            </w:r>
            <w:r w:rsidRPr="001C39A1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dans la famille d’origine</w:t>
            </w:r>
          </w:p>
          <w:p w14:paraId="100488E5" w14:textId="5DC3458F" w:rsidR="00D0207D" w:rsidRPr="001C39A1" w:rsidRDefault="00D0207D" w:rsidP="00D0207D">
            <w:pPr>
              <w:numPr>
                <w:ilvl w:val="0"/>
                <w:numId w:val="26"/>
              </w:numPr>
              <w:tabs>
                <w:tab w:val="right" w:pos="14175"/>
              </w:tabs>
              <w:spacing w:before="120" w:after="120" w:line="240" w:lineRule="atLeast"/>
              <w:contextualSpacing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Suivi post-</w:t>
            </w:r>
            <w:r w:rsidR="00222F06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résidentiel </w:t>
            </w:r>
            <w:r w:rsidRPr="001C39A1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dans un contexte de logement différent, par exemple dans l’appartement de la personne concernée (logement avec accompagnement)</w:t>
            </w:r>
          </w:p>
          <w:p w14:paraId="19047F67" w14:textId="77777777" w:rsidR="00D0207D" w:rsidRPr="001C39A1" w:rsidRDefault="00D0207D" w:rsidP="00D0207D">
            <w:pPr>
              <w:numPr>
                <w:ilvl w:val="0"/>
                <w:numId w:val="26"/>
              </w:numPr>
              <w:tabs>
                <w:tab w:val="right" w:pos="14175"/>
              </w:tabs>
              <w:spacing w:before="120" w:after="120" w:line="240" w:lineRule="atLeast"/>
              <w:contextualSpacing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Suivi d’un placement chez les parents nourriciers (semblable à la prestation ambulatoire telle qu’elle figure dans le catalogue concernant les prestataires dans le cadre du placement chez des parents nourriciers [PPP])</w:t>
            </w:r>
          </w:p>
          <w:p w14:paraId="5C984D76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Informations supplémentaires sur le type de suivi, le temps requis et la durée de l’accompagnement.</w:t>
            </w:r>
          </w:p>
        </w:tc>
      </w:tr>
      <w:tr w:rsidR="00D0207D" w:rsidRPr="00222F06" w14:paraId="415979EC" w14:textId="77777777" w:rsidTr="00BA2239">
        <w:trPr>
          <w:gridAfter w:val="1"/>
          <w:wAfter w:w="14" w:type="dxa"/>
          <w:cantSplit/>
        </w:trPr>
        <w:tc>
          <w:tcPr>
            <w:tcW w:w="3331" w:type="dxa"/>
          </w:tcPr>
          <w:p w14:paraId="15A045A2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Objectifs supérieurs:</w:t>
            </w:r>
          </w:p>
        </w:tc>
        <w:tc>
          <w:tcPr>
            <w:tcW w:w="6468" w:type="dxa"/>
          </w:tcPr>
          <w:p w14:paraId="409C258D" w14:textId="50E5AF03" w:rsidR="00D0207D" w:rsidRPr="001C39A1" w:rsidRDefault="00D0207D" w:rsidP="00222F06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Le suivi ambulatoire post-</w:t>
            </w:r>
            <w:r w:rsidR="00222F06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résidentiel </w:t>
            </w:r>
            <w:r w:rsidRPr="001C39A1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permet aux enfants et aux adolescents de retrouver un contexte stable et favorise leur développement. </w:t>
            </w:r>
          </w:p>
        </w:tc>
      </w:tr>
      <w:tr w:rsidR="00D0207D" w:rsidRPr="00222F06" w14:paraId="490B9B06" w14:textId="77777777" w:rsidTr="00BA2239">
        <w:trPr>
          <w:cantSplit/>
        </w:trPr>
        <w:tc>
          <w:tcPr>
            <w:tcW w:w="3331" w:type="dxa"/>
          </w:tcPr>
          <w:p w14:paraId="20A73B90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Destinataires de la prestation:</w:t>
            </w:r>
          </w:p>
        </w:tc>
        <w:tc>
          <w:tcPr>
            <w:tcW w:w="6482" w:type="dxa"/>
            <w:gridSpan w:val="2"/>
          </w:tcPr>
          <w:p w14:paraId="2CAECD6D" w14:textId="67001442" w:rsidR="00D0207D" w:rsidRPr="001C39A1" w:rsidRDefault="00D0207D" w:rsidP="00D0207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  <w:r w:rsidRPr="001C39A1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Enfants et adolescents ayant préalablement séjourné dans une institution.</w:t>
            </w:r>
          </w:p>
        </w:tc>
      </w:tr>
    </w:tbl>
    <w:p w14:paraId="5530D7E7" w14:textId="77777777" w:rsidR="007A779A" w:rsidRPr="001C39A1" w:rsidRDefault="007A779A" w:rsidP="007A779A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szCs w:val="20"/>
          <w:lang w:val="fr-CH"/>
        </w:rPr>
      </w:pPr>
    </w:p>
    <w:p w14:paraId="5D471982" w14:textId="4AB3221F" w:rsidR="00D0207D" w:rsidRPr="001C39A1" w:rsidRDefault="00D0207D" w:rsidP="00D0207D">
      <w:pPr>
        <w:tabs>
          <w:tab w:val="right" w:pos="14175"/>
        </w:tabs>
        <w:spacing w:after="240" w:line="280" w:lineRule="atLeast"/>
        <w:rPr>
          <w:rFonts w:ascii="Arial" w:eastAsia="Arial" w:hAnsi="Arial" w:cs="Times New Roman"/>
          <w:bCs w:val="0"/>
          <w:i/>
          <w:spacing w:val="0"/>
          <w:sz w:val="20"/>
          <w:szCs w:val="20"/>
          <w:lang w:val="fr-CH"/>
        </w:rPr>
      </w:pPr>
      <w:r w:rsidRPr="001C39A1">
        <w:rPr>
          <w:rFonts w:ascii="Arial" w:eastAsia="Arial" w:hAnsi="Arial" w:cs="Times New Roman"/>
          <w:bCs w:val="0"/>
          <w:i/>
          <w:spacing w:val="0"/>
          <w:sz w:val="20"/>
          <w:szCs w:val="20"/>
          <w:lang w:val="fr-CH"/>
        </w:rPr>
        <w:t>Plusieurs indicateurs et standards peuvent être rattachés à un objectif de prestation.</w:t>
      </w:r>
    </w:p>
    <w:tbl>
      <w:tblPr>
        <w:tblW w:w="9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82"/>
        <w:gridCol w:w="14"/>
      </w:tblGrid>
      <w:tr w:rsidR="00D0207D" w:rsidRPr="00222F06" w14:paraId="17274B17" w14:textId="77777777" w:rsidTr="00BA2239">
        <w:trPr>
          <w:cantSplit/>
        </w:trPr>
        <w:tc>
          <w:tcPr>
            <w:tcW w:w="3331" w:type="dxa"/>
            <w:shd w:val="clear" w:color="auto" w:fill="CCCCCC"/>
          </w:tcPr>
          <w:p w14:paraId="0BAA7263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lastRenderedPageBreak/>
              <w:t>Objectif 1 de la prestation:</w:t>
            </w:r>
          </w:p>
        </w:tc>
        <w:tc>
          <w:tcPr>
            <w:tcW w:w="6496" w:type="dxa"/>
            <w:gridSpan w:val="2"/>
            <w:shd w:val="clear" w:color="auto" w:fill="CCCCCC"/>
          </w:tcPr>
          <w:p w14:paraId="24F2F17F" w14:textId="77777777" w:rsidR="00D0207D" w:rsidRPr="001C39A1" w:rsidRDefault="00D0207D" w:rsidP="00D0207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  <w:r w:rsidRPr="001C39A1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Les objectifs et les contenus du suivi sont définis d’un commun accord.</w:t>
            </w:r>
          </w:p>
        </w:tc>
      </w:tr>
      <w:tr w:rsidR="00D0207D" w:rsidRPr="001C39A1" w14:paraId="1CE9A55C" w14:textId="77777777" w:rsidTr="00BA2239">
        <w:trPr>
          <w:cantSplit/>
        </w:trPr>
        <w:tc>
          <w:tcPr>
            <w:tcW w:w="3331" w:type="dxa"/>
          </w:tcPr>
          <w:p w14:paraId="59785C70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1:</w:t>
            </w:r>
          </w:p>
        </w:tc>
        <w:tc>
          <w:tcPr>
            <w:tcW w:w="6496" w:type="dxa"/>
            <w:gridSpan w:val="2"/>
          </w:tcPr>
          <w:p w14:paraId="797F1F88" w14:textId="5AC6B45D" w:rsidR="00D0207D" w:rsidRPr="001C39A1" w:rsidRDefault="00D0207D" w:rsidP="00D0207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D0207D" w:rsidRPr="00627E66" w14:paraId="7B2CDE90" w14:textId="77777777" w:rsidTr="00BA2239">
        <w:trPr>
          <w:cantSplit/>
        </w:trPr>
        <w:tc>
          <w:tcPr>
            <w:tcW w:w="3331" w:type="dxa"/>
          </w:tcPr>
          <w:p w14:paraId="4A798520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6496" w:type="dxa"/>
            <w:gridSpan w:val="2"/>
          </w:tcPr>
          <w:p w14:paraId="32F4FA23" w14:textId="1402277C" w:rsidR="00D0207D" w:rsidRPr="001C39A1" w:rsidRDefault="00D0207D" w:rsidP="00D0207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D0207D" w:rsidRPr="00627E66" w14:paraId="6325275E" w14:textId="77777777" w:rsidTr="00BA2239">
        <w:trPr>
          <w:cantSplit/>
        </w:trPr>
        <w:tc>
          <w:tcPr>
            <w:tcW w:w="3331" w:type="dxa"/>
          </w:tcPr>
          <w:p w14:paraId="1A7FADFA" w14:textId="77777777" w:rsidR="00D0207D" w:rsidRDefault="00D0207D" w:rsidP="002A37A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  <w:p w14:paraId="03632FF4" w14:textId="253FC545" w:rsidR="008242A5" w:rsidRPr="001C39A1" w:rsidRDefault="008242A5" w:rsidP="002A37A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</w:p>
        </w:tc>
        <w:tc>
          <w:tcPr>
            <w:tcW w:w="6496" w:type="dxa"/>
            <w:gridSpan w:val="2"/>
          </w:tcPr>
          <w:p w14:paraId="40AA5FAC" w14:textId="77777777" w:rsidR="00D0207D" w:rsidRPr="001C39A1" w:rsidRDefault="00D0207D" w:rsidP="00D0207D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</w:p>
        </w:tc>
      </w:tr>
      <w:tr w:rsidR="00D0207D" w:rsidRPr="00222F06" w14:paraId="7D01AF2B" w14:textId="77777777" w:rsidTr="00BA2239">
        <w:trPr>
          <w:gridAfter w:val="1"/>
          <w:wAfter w:w="14" w:type="dxa"/>
          <w:cantSplit/>
        </w:trPr>
        <w:tc>
          <w:tcPr>
            <w:tcW w:w="3331" w:type="dxa"/>
            <w:shd w:val="clear" w:color="auto" w:fill="CCCCCC"/>
          </w:tcPr>
          <w:p w14:paraId="236431D8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2 de la prestation:</w:t>
            </w:r>
          </w:p>
        </w:tc>
        <w:tc>
          <w:tcPr>
            <w:tcW w:w="6482" w:type="dxa"/>
            <w:shd w:val="clear" w:color="auto" w:fill="CCCCCC"/>
          </w:tcPr>
          <w:p w14:paraId="55D8E623" w14:textId="5F1CEEDC" w:rsidR="00D0207D" w:rsidRPr="001C39A1" w:rsidRDefault="00D0207D" w:rsidP="001C39A1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  <w:r w:rsidRPr="001C39A1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L’enfant / l’adolescent(e) et son entourage social sont soutenus dans la gestion de situations difficiles.</w:t>
            </w:r>
          </w:p>
        </w:tc>
      </w:tr>
      <w:tr w:rsidR="00D0207D" w:rsidRPr="00627E66" w14:paraId="7BA9538F" w14:textId="77777777" w:rsidTr="00BA2239">
        <w:trPr>
          <w:gridAfter w:val="1"/>
          <w:wAfter w:w="14" w:type="dxa"/>
          <w:cantSplit/>
        </w:trPr>
        <w:tc>
          <w:tcPr>
            <w:tcW w:w="3331" w:type="dxa"/>
          </w:tcPr>
          <w:p w14:paraId="44A9F863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2:</w:t>
            </w:r>
          </w:p>
        </w:tc>
        <w:tc>
          <w:tcPr>
            <w:tcW w:w="6482" w:type="dxa"/>
          </w:tcPr>
          <w:p w14:paraId="47AAB9DE" w14:textId="040BF249" w:rsidR="00D0207D" w:rsidRPr="001C39A1" w:rsidRDefault="00D0207D" w:rsidP="00D0207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D0207D" w:rsidRPr="00627E66" w14:paraId="11300403" w14:textId="77777777" w:rsidTr="00BA2239">
        <w:trPr>
          <w:gridAfter w:val="1"/>
          <w:wAfter w:w="14" w:type="dxa"/>
          <w:cantSplit/>
        </w:trPr>
        <w:tc>
          <w:tcPr>
            <w:tcW w:w="3331" w:type="dxa"/>
          </w:tcPr>
          <w:p w14:paraId="29F793F4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6482" w:type="dxa"/>
          </w:tcPr>
          <w:p w14:paraId="390BB51E" w14:textId="595A994F" w:rsidR="00D0207D" w:rsidRPr="001C39A1" w:rsidRDefault="00D0207D" w:rsidP="00D0207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D0207D" w:rsidRPr="00627E66" w14:paraId="168D8991" w14:textId="77777777" w:rsidTr="00BA2239">
        <w:trPr>
          <w:gridAfter w:val="1"/>
          <w:wAfter w:w="14" w:type="dxa"/>
          <w:cantSplit/>
        </w:trPr>
        <w:tc>
          <w:tcPr>
            <w:tcW w:w="3331" w:type="dxa"/>
          </w:tcPr>
          <w:p w14:paraId="6CF43DC4" w14:textId="77777777" w:rsidR="00D0207D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  <w:p w14:paraId="7A169ED5" w14:textId="10E64510" w:rsidR="008242A5" w:rsidRPr="001C39A1" w:rsidRDefault="008242A5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</w:p>
        </w:tc>
        <w:tc>
          <w:tcPr>
            <w:tcW w:w="6482" w:type="dxa"/>
          </w:tcPr>
          <w:p w14:paraId="50D856FA" w14:textId="03B84DC9" w:rsidR="00D0207D" w:rsidRPr="001C39A1" w:rsidRDefault="00D0207D" w:rsidP="00D0207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D0207D" w:rsidRPr="00222F06" w14:paraId="3D329094" w14:textId="77777777" w:rsidTr="00BA2239">
        <w:trPr>
          <w:cantSplit/>
        </w:trPr>
        <w:tc>
          <w:tcPr>
            <w:tcW w:w="3331" w:type="dxa"/>
            <w:shd w:val="clear" w:color="auto" w:fill="CCCCCC"/>
          </w:tcPr>
          <w:p w14:paraId="7FAF33FF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3 de la prestation:</w:t>
            </w:r>
          </w:p>
        </w:tc>
        <w:tc>
          <w:tcPr>
            <w:tcW w:w="6496" w:type="dxa"/>
            <w:gridSpan w:val="2"/>
            <w:shd w:val="clear" w:color="auto" w:fill="CCCCCC"/>
          </w:tcPr>
          <w:p w14:paraId="7F6ABF1C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L’enfant / l’adolescent(e) vit dans des conditions stables.</w:t>
            </w:r>
          </w:p>
        </w:tc>
      </w:tr>
      <w:tr w:rsidR="00D0207D" w:rsidRPr="001C39A1" w14:paraId="462F8364" w14:textId="77777777" w:rsidTr="00BA2239">
        <w:trPr>
          <w:cantSplit/>
        </w:trPr>
        <w:tc>
          <w:tcPr>
            <w:tcW w:w="3331" w:type="dxa"/>
          </w:tcPr>
          <w:p w14:paraId="57E15DE6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3:</w:t>
            </w:r>
          </w:p>
        </w:tc>
        <w:tc>
          <w:tcPr>
            <w:tcW w:w="6496" w:type="dxa"/>
            <w:gridSpan w:val="2"/>
          </w:tcPr>
          <w:p w14:paraId="7BDC1C1D" w14:textId="77777777" w:rsidR="00D0207D" w:rsidRPr="001C39A1" w:rsidRDefault="00D0207D" w:rsidP="00D0207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D0207D" w:rsidRPr="001C39A1" w14:paraId="4B7E4188" w14:textId="77777777" w:rsidTr="00BA2239">
        <w:trPr>
          <w:cantSplit/>
        </w:trPr>
        <w:tc>
          <w:tcPr>
            <w:tcW w:w="3331" w:type="dxa"/>
          </w:tcPr>
          <w:p w14:paraId="27D05ABD" w14:textId="77777777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6496" w:type="dxa"/>
            <w:gridSpan w:val="2"/>
          </w:tcPr>
          <w:p w14:paraId="7F35BC1B" w14:textId="77777777" w:rsidR="00D0207D" w:rsidRPr="001C39A1" w:rsidRDefault="00D0207D" w:rsidP="00D0207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D0207D" w:rsidRPr="001C39A1" w14:paraId="43B8B8B8" w14:textId="77777777" w:rsidTr="00BA2239">
        <w:trPr>
          <w:cantSplit/>
        </w:trPr>
        <w:tc>
          <w:tcPr>
            <w:tcW w:w="3331" w:type="dxa"/>
          </w:tcPr>
          <w:p w14:paraId="45A4E3A2" w14:textId="415A93F3" w:rsidR="00D0207D" w:rsidRPr="001C39A1" w:rsidRDefault="00D0207D" w:rsidP="00D0207D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1C39A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</w:tc>
        <w:tc>
          <w:tcPr>
            <w:tcW w:w="6496" w:type="dxa"/>
            <w:gridSpan w:val="2"/>
          </w:tcPr>
          <w:p w14:paraId="61BDA6E6" w14:textId="77777777" w:rsidR="00D0207D" w:rsidRPr="001C39A1" w:rsidRDefault="00D0207D" w:rsidP="00D0207D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</w:tbl>
    <w:p w14:paraId="725E1C94" w14:textId="34D8BA77" w:rsidR="00627E66" w:rsidRPr="00627E66" w:rsidRDefault="00627E66" w:rsidP="00F577DA">
      <w:pPr>
        <w:tabs>
          <w:tab w:val="right" w:pos="14175"/>
        </w:tabs>
        <w:spacing w:before="480" w:line="280" w:lineRule="atLeast"/>
        <w:rPr>
          <w:rFonts w:ascii="Arial" w:eastAsia="Arial" w:hAnsi="Arial" w:cs="Times New Roman"/>
          <w:bCs w:val="0"/>
          <w:i/>
          <w:spacing w:val="0"/>
          <w:sz w:val="22"/>
          <w:lang w:val="fr-CH"/>
        </w:rPr>
      </w:pPr>
      <w:r>
        <w:rPr>
          <w:rFonts w:ascii="Arial" w:eastAsia="Arial" w:hAnsi="Arial" w:cs="Times New Roman"/>
          <w:bCs w:val="0"/>
          <w:i/>
          <w:spacing w:val="0"/>
          <w:sz w:val="22"/>
          <w:lang w:val="fr-CH"/>
        </w:rPr>
        <w:t>Version</w:t>
      </w:r>
      <w:r w:rsidR="00222F06">
        <w:rPr>
          <w:rFonts w:ascii="Arial" w:eastAsia="Arial" w:hAnsi="Arial" w:cs="Times New Roman"/>
          <w:bCs w:val="0"/>
          <w:i/>
          <w:spacing w:val="0"/>
          <w:sz w:val="22"/>
          <w:lang w:val="fr-CH"/>
        </w:rPr>
        <w:t xml:space="preserve">s: </w:t>
      </w:r>
      <w:r>
        <w:rPr>
          <w:rFonts w:ascii="Arial" w:eastAsia="Arial" w:hAnsi="Arial" w:cs="Times New Roman"/>
          <w:bCs w:val="0"/>
          <w:i/>
          <w:spacing w:val="0"/>
          <w:sz w:val="22"/>
          <w:lang w:val="fr-CH"/>
        </w:rPr>
        <w:t>mars 2020</w:t>
      </w:r>
      <w:r w:rsidR="00222F06">
        <w:rPr>
          <w:rFonts w:ascii="Arial" w:eastAsia="Arial" w:hAnsi="Arial" w:cs="Times New Roman"/>
          <w:bCs w:val="0"/>
          <w:i/>
          <w:spacing w:val="0"/>
          <w:sz w:val="22"/>
          <w:lang w:val="fr-CH"/>
        </w:rPr>
        <w:t xml:space="preserve"> / novembre 2022</w:t>
      </w:r>
      <w:bookmarkStart w:id="0" w:name="_GoBack"/>
      <w:bookmarkEnd w:id="0"/>
    </w:p>
    <w:sectPr w:rsidR="00627E66" w:rsidRPr="00627E66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604CB" w14:textId="77777777" w:rsidR="00D0207D" w:rsidRDefault="00D0207D" w:rsidP="00F91D37">
      <w:pPr>
        <w:spacing w:line="240" w:lineRule="auto"/>
      </w:pPr>
      <w:r>
        <w:separator/>
      </w:r>
    </w:p>
  </w:endnote>
  <w:endnote w:type="continuationSeparator" w:id="0">
    <w:p w14:paraId="214C3681" w14:textId="77777777" w:rsidR="00D0207D" w:rsidRDefault="00D0207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17A7B" w14:textId="77777777" w:rsidR="00E94608" w:rsidRDefault="00E946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C716" w14:textId="4E64EC3A" w:rsidR="00797FDE" w:rsidRPr="00BD4A9C" w:rsidRDefault="006E6B34" w:rsidP="00632704">
    <w:pPr>
      <w:pStyle w:val="Pieddepage"/>
    </w:pPr>
    <w:r>
      <w:rPr>
        <w:rFonts w:ascii="Arial" w:eastAsia="Arial" w:hAnsi="Arial"/>
        <w:vanish/>
        <w:color w:val="7D9AA8" w:themeColor="accent1" w:themeTint="99"/>
        <w:lang w:val="fr-CH"/>
      </w:rPr>
      <w:fldChar w:fldCharType="begin"/>
    </w:r>
    <w:r>
      <w:rPr>
        <w:rFonts w:ascii="Arial" w:eastAsia="Arial" w:hAnsi="Arial"/>
        <w:vanish/>
        <w:color w:val="7D9AA8" w:themeColor="accent1" w:themeTint="99"/>
        <w:lang w:val="fr-CH"/>
      </w:rPr>
      <w:instrText xml:space="preserve"> REF  Klassifizierung </w:instrTex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separate"/>
    </w:r>
    <w:r w:rsidR="00423D03">
      <w:rPr>
        <w:rFonts w:ascii="Arial" w:eastAsia="Arial" w:hAnsi="Arial"/>
        <w:b/>
        <w:bCs w:val="0"/>
        <w:vanish/>
        <w:color w:val="7D9AA8" w:themeColor="accent1" w:themeTint="99"/>
        <w:lang w:val="fr-FR"/>
      </w:rPr>
      <w:t>Erreur ! Source du renvoi introuvable.</w: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end"/>
    </w:r>
    <w:r w:rsidR="00797FDE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6905688" wp14:editId="0A5473B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8666D" w14:textId="4757318F"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23D03" w:rsidRPr="00423D03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23D0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05688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1E38666D" w14:textId="4757318F"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23D03" w:rsidRPr="00423D03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23D0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B393C" w14:textId="7B27E510" w:rsidR="00797FDE" w:rsidRPr="00BC5092" w:rsidRDefault="00797FDE" w:rsidP="00BC5092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776AA2D3" wp14:editId="50F562D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8AE572" w14:textId="102ACA80"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23D03" w:rsidRPr="00423D0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23D0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AA2D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3B8AE572" w14:textId="102ACA80"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23D03" w:rsidRPr="00423D03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23D0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81C6D" w14:textId="77777777" w:rsidR="00D0207D" w:rsidRDefault="00D0207D" w:rsidP="00F91D37">
      <w:pPr>
        <w:spacing w:line="240" w:lineRule="auto"/>
      </w:pPr>
    </w:p>
    <w:p w14:paraId="567751FF" w14:textId="77777777" w:rsidR="00D0207D" w:rsidRDefault="00D0207D" w:rsidP="00F91D37">
      <w:pPr>
        <w:spacing w:line="240" w:lineRule="auto"/>
      </w:pPr>
    </w:p>
  </w:footnote>
  <w:footnote w:type="continuationSeparator" w:id="0">
    <w:p w14:paraId="79F4E996" w14:textId="77777777" w:rsidR="00D0207D" w:rsidRDefault="00D0207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0688" w14:textId="78C96AA7" w:rsidR="00E94608" w:rsidRDefault="00E946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06CAA" w:rsidRPr="00222F06" w14:paraId="79C4EE26" w14:textId="77777777" w:rsidTr="00EF7C56">
      <w:tc>
        <w:tcPr>
          <w:tcW w:w="5100" w:type="dxa"/>
        </w:tcPr>
        <w:p w14:paraId="6DBA5A12" w14:textId="77777777" w:rsidR="00B06CAA" w:rsidRPr="00D5069D" w:rsidRDefault="00B06CAA" w:rsidP="00B06CAA">
          <w:pPr>
            <w:pStyle w:val="En-tte"/>
            <w:rPr>
              <w:color w:val="FFFFFF" w:themeColor="background1"/>
            </w:rPr>
          </w:pPr>
        </w:p>
        <w:p w14:paraId="211E5C47" w14:textId="77777777" w:rsidR="00B06CAA" w:rsidRPr="00832D99" w:rsidRDefault="00B06CAA" w:rsidP="00B06CAA">
          <w:pPr>
            <w:pStyle w:val="En-tte"/>
          </w:pPr>
        </w:p>
      </w:tc>
      <w:tc>
        <w:tcPr>
          <w:tcW w:w="4878" w:type="dxa"/>
        </w:tcPr>
        <w:p w14:paraId="24C6CD76" w14:textId="475551BD" w:rsidR="00B06CAA" w:rsidRPr="00903596" w:rsidRDefault="00E37ACB" w:rsidP="00B06CAA">
          <w:pPr>
            <w:pStyle w:val="En-tte"/>
            <w:rPr>
              <w:lang w:val="fr-CH"/>
            </w:rPr>
          </w:pPr>
          <w:r w:rsidRPr="00E37ACB">
            <w:rPr>
              <w:lang w:val="fr-CH"/>
            </w:rPr>
            <w:t>Prestation: suivi ambulatoire post-institutionnel</w:t>
          </w:r>
        </w:p>
      </w:tc>
    </w:tr>
  </w:tbl>
  <w:p w14:paraId="12F1102F" w14:textId="620D84F9" w:rsidR="00797FDE" w:rsidRPr="00B06CAA" w:rsidRDefault="00B06CAA" w:rsidP="00B06CAA">
    <w:pPr>
      <w:pStyle w:val="En-tte"/>
    </w:pPr>
    <w:r w:rsidRPr="00B0249E">
      <w:rPr>
        <w:lang w:val="fr-CH" w:eastAsia="fr-CH"/>
      </w:rPr>
      <w:drawing>
        <wp:anchor distT="0" distB="0" distL="114300" distR="114300" simplePos="0" relativeHeight="251679743" behindDoc="0" locked="1" layoutInCell="1" allowOverlap="1" wp14:anchorId="1138F2D2" wp14:editId="50C81311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8F32" w14:textId="5D82AA3A" w:rsidR="00797FDE" w:rsidRDefault="00797FDE" w:rsidP="000822A6">
    <w:pPr>
      <w:pStyle w:val="En-tte"/>
      <w:jc w:val="right"/>
    </w:pPr>
    <w:r>
      <w:rPr>
        <w:lang w:val="fr-CH" w:eastAsia="fr-CH"/>
      </w:rPr>
      <w:drawing>
        <wp:anchor distT="0" distB="0" distL="114300" distR="114300" simplePos="0" relativeHeight="251669503" behindDoc="0" locked="1" layoutInCell="1" allowOverlap="1" wp14:anchorId="64E78120" wp14:editId="2051A66F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Affaire-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ffaire-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A49EE"/>
    <w:multiLevelType w:val="hybridMultilevel"/>
    <w:tmpl w:val="DB1C3B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10EDC"/>
    <w:multiLevelType w:val="hybridMultilevel"/>
    <w:tmpl w:val="4D18F3BC"/>
    <w:lvl w:ilvl="0" w:tplc="55D2AB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Titre2numro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Titre3numro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Titre4numro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Titre5numro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rotage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rotage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Bullet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Bullet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0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D0207D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10A9"/>
    <w:rsid w:val="00134353"/>
    <w:rsid w:val="001343C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80322"/>
    <w:rsid w:val="00183D19"/>
    <w:rsid w:val="00190A82"/>
    <w:rsid w:val="00196ABC"/>
    <w:rsid w:val="00196B03"/>
    <w:rsid w:val="00196C0B"/>
    <w:rsid w:val="001A0029"/>
    <w:rsid w:val="001A16CB"/>
    <w:rsid w:val="001A666F"/>
    <w:rsid w:val="001B166D"/>
    <w:rsid w:val="001B1F85"/>
    <w:rsid w:val="001B4DBF"/>
    <w:rsid w:val="001B5E85"/>
    <w:rsid w:val="001C39A1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2F06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8546A"/>
    <w:rsid w:val="00290E37"/>
    <w:rsid w:val="0029375B"/>
    <w:rsid w:val="002941D2"/>
    <w:rsid w:val="002945F1"/>
    <w:rsid w:val="00295DEC"/>
    <w:rsid w:val="002A3098"/>
    <w:rsid w:val="002A37A4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9DD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1892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3D03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3EE5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5FE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07AD"/>
    <w:rsid w:val="005D161E"/>
    <w:rsid w:val="005D4FBB"/>
    <w:rsid w:val="005D682F"/>
    <w:rsid w:val="005E3592"/>
    <w:rsid w:val="005E46D2"/>
    <w:rsid w:val="005E74A9"/>
    <w:rsid w:val="005F60CA"/>
    <w:rsid w:val="005F64F0"/>
    <w:rsid w:val="006009F8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27E66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43E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B7AE3"/>
    <w:rsid w:val="006C055A"/>
    <w:rsid w:val="006C144C"/>
    <w:rsid w:val="006C1669"/>
    <w:rsid w:val="006C1863"/>
    <w:rsid w:val="006E0F4E"/>
    <w:rsid w:val="006E354E"/>
    <w:rsid w:val="006E6B34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0308"/>
    <w:rsid w:val="00783544"/>
    <w:rsid w:val="00784279"/>
    <w:rsid w:val="00786EF3"/>
    <w:rsid w:val="00787D98"/>
    <w:rsid w:val="00790ED9"/>
    <w:rsid w:val="00794A0C"/>
    <w:rsid w:val="00796CEE"/>
    <w:rsid w:val="00797FDE"/>
    <w:rsid w:val="007A3524"/>
    <w:rsid w:val="007A6304"/>
    <w:rsid w:val="007A779A"/>
    <w:rsid w:val="007B0A9B"/>
    <w:rsid w:val="007B0D94"/>
    <w:rsid w:val="007B2D50"/>
    <w:rsid w:val="007C0B2A"/>
    <w:rsid w:val="007D06C7"/>
    <w:rsid w:val="007D6F53"/>
    <w:rsid w:val="007E0460"/>
    <w:rsid w:val="007E15F9"/>
    <w:rsid w:val="007E3459"/>
    <w:rsid w:val="007F0876"/>
    <w:rsid w:val="007F34B1"/>
    <w:rsid w:val="007F6C97"/>
    <w:rsid w:val="00801778"/>
    <w:rsid w:val="00807940"/>
    <w:rsid w:val="00810972"/>
    <w:rsid w:val="00814BE6"/>
    <w:rsid w:val="008242A5"/>
    <w:rsid w:val="00824CE1"/>
    <w:rsid w:val="00827ACA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8F6DB7"/>
    <w:rsid w:val="0090347A"/>
    <w:rsid w:val="00903596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915"/>
    <w:rsid w:val="00935A5B"/>
    <w:rsid w:val="0093619F"/>
    <w:rsid w:val="009427E5"/>
    <w:rsid w:val="009454B7"/>
    <w:rsid w:val="00955032"/>
    <w:rsid w:val="009568A7"/>
    <w:rsid w:val="009613D8"/>
    <w:rsid w:val="00961618"/>
    <w:rsid w:val="0096225E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B9C"/>
    <w:rsid w:val="00A06F53"/>
    <w:rsid w:val="00A12B05"/>
    <w:rsid w:val="00A12E3A"/>
    <w:rsid w:val="00A15841"/>
    <w:rsid w:val="00A26A74"/>
    <w:rsid w:val="00A35A36"/>
    <w:rsid w:val="00A36ED7"/>
    <w:rsid w:val="00A4441C"/>
    <w:rsid w:val="00A45E6C"/>
    <w:rsid w:val="00A5451D"/>
    <w:rsid w:val="00A54B88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06CAA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4152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5092"/>
    <w:rsid w:val="00BC655F"/>
    <w:rsid w:val="00BD3717"/>
    <w:rsid w:val="00BD4A9C"/>
    <w:rsid w:val="00BE1E62"/>
    <w:rsid w:val="00BF7052"/>
    <w:rsid w:val="00C034B4"/>
    <w:rsid w:val="00C05FAB"/>
    <w:rsid w:val="00C14A87"/>
    <w:rsid w:val="00C1704D"/>
    <w:rsid w:val="00C173B3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27FAA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2E"/>
    <w:rsid w:val="00C573A1"/>
    <w:rsid w:val="00C57571"/>
    <w:rsid w:val="00C613E9"/>
    <w:rsid w:val="00C72351"/>
    <w:rsid w:val="00C7482A"/>
    <w:rsid w:val="00C74920"/>
    <w:rsid w:val="00C75D29"/>
    <w:rsid w:val="00C822D2"/>
    <w:rsid w:val="00C86E8E"/>
    <w:rsid w:val="00C8751F"/>
    <w:rsid w:val="00C90365"/>
    <w:rsid w:val="00C9495E"/>
    <w:rsid w:val="00CA0842"/>
    <w:rsid w:val="00CA2399"/>
    <w:rsid w:val="00CA2464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207D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0385"/>
    <w:rsid w:val="00E136E5"/>
    <w:rsid w:val="00E1409F"/>
    <w:rsid w:val="00E22965"/>
    <w:rsid w:val="00E2351D"/>
    <w:rsid w:val="00E25DCD"/>
    <w:rsid w:val="00E269E1"/>
    <w:rsid w:val="00E31EED"/>
    <w:rsid w:val="00E337D0"/>
    <w:rsid w:val="00E37ACB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608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EF6350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577D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A51EE"/>
    <w:rsid w:val="00FA5E8F"/>
    <w:rsid w:val="00FB239D"/>
    <w:rsid w:val="00FB5828"/>
    <w:rsid w:val="00FB657F"/>
    <w:rsid w:val="00FB7DDF"/>
    <w:rsid w:val="00FC5023"/>
    <w:rsid w:val="00FD2271"/>
    <w:rsid w:val="00FD6290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09CC52C"/>
  <w15:docId w15:val="{B6DC96E1-05FF-408D-A34C-0B313AA4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E4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semiHidden/>
    <w:rsid w:val="004F5FE4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aliases w:val="Objet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aliases w:val="Objet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Bullet1">
    <w:name w:val="Bullet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Affaire-Titre1">
    <w:name w:val="Affaire-Titre 1"/>
    <w:basedOn w:val="Bullet1"/>
    <w:next w:val="Texte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Bullet2">
    <w:name w:val="Bullet 2"/>
    <w:basedOn w:val="Bullet1"/>
    <w:uiPriority w:val="2"/>
    <w:rsid w:val="004C3880"/>
    <w:pPr>
      <w:numPr>
        <w:ilvl w:val="1"/>
      </w:numPr>
    </w:pPr>
  </w:style>
  <w:style w:type="paragraph" w:customStyle="1" w:styleId="Bullet3">
    <w:name w:val="Bullet 3"/>
    <w:basedOn w:val="Bullet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Titre 1 (numéroté)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Titre2numrot">
    <w:name w:val="Titre 2 (numéroté)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Titre3numrot">
    <w:name w:val="Titre 3 (numéroté)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Titre4numrot">
    <w:name w:val="Titre 4 (numéroté)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rotage1">
    <w:name w:val="Numérotage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rotage2">
    <w:name w:val="Numérotage 2"/>
    <w:basedOn w:val="Numrotage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e85pt">
    <w:name w:val="Texte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Bullet85pt">
    <w:name w:val="Bullet 8.5 pt"/>
    <w:basedOn w:val="Bullet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e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Titre5numrot">
    <w:name w:val="Titre 5 (numéroté)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e65pt">
    <w:name w:val="Texte 6.5 pt"/>
    <w:basedOn w:val="Texte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e13pt">
    <w:name w:val="Texte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Affaire-Titre2">
    <w:name w:val="Affaire-Titre 2"/>
    <w:basedOn w:val="Texte85pt"/>
    <w:next w:val="Texte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020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07D"/>
    <w:pPr>
      <w:spacing w:after="220" w:line="240" w:lineRule="auto"/>
    </w:pPr>
    <w:rPr>
      <w:rFonts w:ascii="Arial" w:hAnsi="Arial" w:cs="Times New Roman"/>
      <w:bCs w:val="0"/>
      <w:spacing w:val="0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07D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D8E65C85CE495F913274DDB1887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78864-FA06-48A7-857A-1D87E44F25E9}"/>
      </w:docPartPr>
      <w:docPartBody>
        <w:p w:rsidR="004B2AC4" w:rsidRDefault="004B2AC4">
          <w:pPr>
            <w:pStyle w:val="9CD8E65C85CE495F913274DDB1887003"/>
          </w:pPr>
          <w:r w:rsidRPr="00783544">
            <w:rPr>
              <w:rStyle w:val="Textedelespacerserv"/>
              <w:lang w:val="fr-CH"/>
            </w:rPr>
            <w:t>Objet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4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vanish/>
      <w:color w:val="9CC2E5" w:themeColor="accent1" w:themeTint="99"/>
    </w:rPr>
  </w:style>
  <w:style w:type="paragraph" w:customStyle="1" w:styleId="F46BE53B2C294BEE9C7798764E3C2A43">
    <w:name w:val="F46BE53B2C294BEE9C7798764E3C2A43"/>
  </w:style>
  <w:style w:type="paragraph" w:customStyle="1" w:styleId="D989C0BE9D804C97B4BFB4273E31C9CC">
    <w:name w:val="D989C0BE9D804C97B4BFB4273E31C9CC"/>
  </w:style>
  <w:style w:type="paragraph" w:customStyle="1" w:styleId="9E815981665D4D13A90ABCDB42687C2D">
    <w:name w:val="9E815981665D4D13A90ABCDB42687C2D"/>
  </w:style>
  <w:style w:type="paragraph" w:customStyle="1" w:styleId="136A6A2A4CD741FDB239781FA315151D">
    <w:name w:val="136A6A2A4CD741FDB239781FA315151D"/>
  </w:style>
  <w:style w:type="paragraph" w:customStyle="1" w:styleId="9CD8E65C85CE495F913274DDB1887003">
    <w:name w:val="9CD8E65C85CE495F913274DDB1887003"/>
  </w:style>
  <w:style w:type="paragraph" w:customStyle="1" w:styleId="766635C365854FC8ACE65C28218AADF0">
    <w:name w:val="766635C365854FC8ACE65C28218AADF0"/>
  </w:style>
  <w:style w:type="paragraph" w:customStyle="1" w:styleId="0F251561E2B347EE8E4AB45D746408F4">
    <w:name w:val="0F251561E2B347EE8E4AB45D746408F4"/>
  </w:style>
  <w:style w:type="paragraph" w:customStyle="1" w:styleId="87665ED5F7B244719D3CA85E3FB22DAA">
    <w:name w:val="87665ED5F7B244719D3CA85E3FB22DAA"/>
  </w:style>
  <w:style w:type="paragraph" w:customStyle="1" w:styleId="5FD7EDD94D8B472089D6A6F06CF503B5">
    <w:name w:val="5FD7EDD94D8B472089D6A6F06CF503B5"/>
  </w:style>
  <w:style w:type="paragraph" w:customStyle="1" w:styleId="3D79AB8432E84C75A4764C506B6D15D9">
    <w:name w:val="3D79AB8432E84C75A4764C506B6D15D9"/>
  </w:style>
  <w:style w:type="paragraph" w:customStyle="1" w:styleId="396C60542E5B4B038B464770197C8A98">
    <w:name w:val="396C60542E5B4B038B464770197C8A98"/>
  </w:style>
  <w:style w:type="paragraph" w:customStyle="1" w:styleId="B32D43C731694FBDA29850D845CB0855">
    <w:name w:val="B32D43C731694FBDA29850D845CB0855"/>
  </w:style>
  <w:style w:type="paragraph" w:customStyle="1" w:styleId="29658FA1DF174DCCB50A83EDBAD19017">
    <w:name w:val="29658FA1DF174DCCB50A83EDBAD19017"/>
  </w:style>
  <w:style w:type="paragraph" w:customStyle="1" w:styleId="2BF4E5EFFD544F92AF88B0F085A991AF">
    <w:name w:val="2BF4E5EFFD544F92AF88B0F085A991AF"/>
  </w:style>
  <w:style w:type="paragraph" w:customStyle="1" w:styleId="16A093DD56D0415886DEE327F5802021">
    <w:name w:val="16A093DD56D0415886DEE327F5802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Benutzerdefiniert 23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4A39A63-65BB-47AA-8060-33BB1A7F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2414</Characters>
  <Application>Microsoft Office Word</Application>
  <DocSecurity>0</DocSecurity>
  <Lines>49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Modèle du descriptif des prestations: suivi ambulatoire post-institutionnel</vt:lpstr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du descriptif des prestations: suivi ambulatoire post-institutionnel</dc:title>
  <dc:creator>OM</dc:creator>
  <dc:description>numéro de document</dc:description>
  <cp:lastModifiedBy>Schwed Mayor Florence, DIJ-GS-PGKO</cp:lastModifiedBy>
  <cp:revision>2</cp:revision>
  <cp:lastPrinted>2022-11-17T12:06:00Z</cp:lastPrinted>
  <dcterms:created xsi:type="dcterms:W3CDTF">2022-11-17T12:10:00Z</dcterms:created>
  <dcterms:modified xsi:type="dcterms:W3CDTF">2022-11-17T12:10:00Z</dcterms:modified>
</cp:coreProperties>
</file>