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376DBC" w:rsidRPr="00336989" w:rsidTr="004D5F14">
        <w:trPr>
          <w:gridAfter w:val="1"/>
          <w:wAfter w:w="4876" w:type="dxa"/>
          <w:trHeight w:val="1219"/>
        </w:trPr>
        <w:tc>
          <w:tcPr>
            <w:tcW w:w="5102" w:type="dxa"/>
            <w:vMerge w:val="restart"/>
          </w:tcPr>
          <w:p w:rsidR="00376DBC" w:rsidRPr="00336989" w:rsidRDefault="00376DBC" w:rsidP="003E0D7F">
            <w:pPr>
              <w:pStyle w:val="Text85pt"/>
            </w:pPr>
            <w:bookmarkStart w:id="0" w:name="_GoBack"/>
            <w:bookmarkEnd w:id="0"/>
            <w:r>
              <w:t>Direktion für Inneres und Justiz</w:t>
            </w:r>
          </w:p>
          <w:p w:rsidR="00376DBC" w:rsidRPr="00336989" w:rsidRDefault="00376DBC" w:rsidP="003E0D7F">
            <w:pPr>
              <w:pStyle w:val="Text85pt"/>
            </w:pPr>
            <w:r>
              <w:t>KJA - Kantonales Jugendamt</w:t>
            </w:r>
          </w:p>
          <w:p w:rsidR="00376DBC" w:rsidRPr="00336989" w:rsidRDefault="00376DBC" w:rsidP="003E0D7F">
            <w:pPr>
              <w:pStyle w:val="Text85pt"/>
            </w:pPr>
          </w:p>
          <w:p w:rsidR="00376DBC" w:rsidRDefault="00376DBC" w:rsidP="003E0D7F">
            <w:pPr>
              <w:pStyle w:val="Text85pt"/>
            </w:pPr>
            <w:r>
              <w:t>Hallerstrasse 5</w:t>
            </w:r>
          </w:p>
          <w:p w:rsidR="00376DBC" w:rsidRPr="00336989" w:rsidRDefault="00376DBC" w:rsidP="003E0D7F">
            <w:pPr>
              <w:pStyle w:val="Text85pt"/>
            </w:pPr>
            <w:r>
              <w:t>Postfach</w:t>
            </w:r>
          </w:p>
          <w:p w:rsidR="00376DBC" w:rsidRPr="00336989" w:rsidRDefault="00376DBC" w:rsidP="003E0D7F">
            <w:pPr>
              <w:pStyle w:val="Text85pt"/>
            </w:pPr>
            <w:r>
              <w:t>3001 Bern</w:t>
            </w:r>
          </w:p>
          <w:p w:rsidR="00376DBC" w:rsidRPr="00336989" w:rsidRDefault="00376DBC" w:rsidP="003E0D7F">
            <w:pPr>
              <w:pStyle w:val="Text85pt"/>
            </w:pPr>
            <w:r w:rsidRPr="00336989">
              <w:t xml:space="preserve">+41 31 </w:t>
            </w:r>
            <w:r>
              <w:t>633 76 33</w:t>
            </w:r>
          </w:p>
          <w:p w:rsidR="00376DBC" w:rsidRPr="00336989" w:rsidRDefault="00376DBC" w:rsidP="003E0D7F">
            <w:pPr>
              <w:pStyle w:val="Text85pt"/>
            </w:pPr>
            <w:r>
              <w:t>kja-bern</w:t>
            </w:r>
            <w:r w:rsidRPr="00336989">
              <w:t>@be.ch</w:t>
            </w:r>
          </w:p>
          <w:p w:rsidR="00376DBC" w:rsidRPr="00336989" w:rsidRDefault="00376DBC" w:rsidP="003E0D7F">
            <w:pPr>
              <w:pStyle w:val="Text85pt"/>
            </w:pPr>
            <w:r w:rsidRPr="00336989">
              <w:t>www.be.ch/</w:t>
            </w:r>
            <w:r>
              <w:t>kja</w:t>
            </w:r>
          </w:p>
          <w:p w:rsidR="00376DBC" w:rsidRPr="00336989" w:rsidRDefault="00376DBC" w:rsidP="003E0D7F">
            <w:pPr>
              <w:pStyle w:val="Text85pt"/>
            </w:pPr>
          </w:p>
          <w:p w:rsidR="00376DBC" w:rsidRPr="00FC39CD" w:rsidRDefault="00376DBC" w:rsidP="008D57E8">
            <w:pPr>
              <w:pStyle w:val="Text85pt"/>
              <w:rPr>
                <w:sz w:val="18"/>
              </w:rPr>
            </w:pPr>
          </w:p>
        </w:tc>
      </w:tr>
      <w:tr w:rsidR="00376DBC" w:rsidRPr="00336989" w:rsidTr="00376DBC">
        <w:trPr>
          <w:gridAfter w:val="1"/>
          <w:wAfter w:w="4876" w:type="dxa"/>
          <w:trHeight w:val="1210"/>
        </w:trPr>
        <w:tc>
          <w:tcPr>
            <w:tcW w:w="5102" w:type="dxa"/>
            <w:vMerge/>
          </w:tcPr>
          <w:p w:rsidR="00376DBC" w:rsidRPr="00336989" w:rsidRDefault="00376DBC" w:rsidP="003E0D7F"/>
        </w:tc>
      </w:tr>
      <w:tr w:rsidR="000D7F08" w:rsidRPr="00336989" w:rsidTr="007254A0">
        <w:trPr>
          <w:trHeight w:val="283"/>
        </w:trPr>
        <w:tc>
          <w:tcPr>
            <w:tcW w:w="5102" w:type="dxa"/>
            <w:vMerge/>
          </w:tcPr>
          <w:p w:rsidR="000D7F08" w:rsidRPr="00336989" w:rsidRDefault="000D7F08" w:rsidP="003E0D7F"/>
        </w:tc>
        <w:tc>
          <w:tcPr>
            <w:tcW w:w="4876" w:type="dxa"/>
          </w:tcPr>
          <w:p w:rsidR="000D7F08" w:rsidRPr="00336989" w:rsidRDefault="000D7F08" w:rsidP="000D7F08">
            <w:pPr>
              <w:pStyle w:val="Text85pt"/>
            </w:pPr>
          </w:p>
        </w:tc>
      </w:tr>
    </w:tbl>
    <w:p w:rsidR="00E93646" w:rsidRDefault="00E93646" w:rsidP="00E93646">
      <w:pPr>
        <w:pStyle w:val="Brieftitel"/>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val="0"/>
          <w:sz w:val="26"/>
          <w:lang w:val="de-DE"/>
        </w:rPr>
      </w:pPr>
      <w:r>
        <w:rPr>
          <w:sz w:val="26"/>
          <w:lang w:val="de-DE"/>
        </w:rPr>
        <w:t xml:space="preserve">Leistung: Intensive </w:t>
      </w:r>
      <w:r w:rsidRPr="00E93646">
        <w:rPr>
          <w:rFonts w:ascii="Arial" w:eastAsia="Arial" w:hAnsi="Arial" w:cs="Times New Roman"/>
          <w:bCs w:val="0"/>
          <w:spacing w:val="0"/>
          <w:sz w:val="26"/>
          <w:lang w:val="de-DE"/>
        </w:rPr>
        <w:t>Begleitung</w:t>
      </w:r>
      <w:r>
        <w:rPr>
          <w:sz w:val="26"/>
          <w:lang w:val="de-DE"/>
        </w:rPr>
        <w:t xml:space="preserve"> in der stationären Unterbringung</w:t>
      </w:r>
    </w:p>
    <w:p w:rsidR="00E93646" w:rsidRDefault="00E93646">
      <w:pPr>
        <w:spacing w:after="200" w:line="24" w:lineRule="auto"/>
        <w:rPr>
          <w:lang w:val="de-DE"/>
        </w:rPr>
      </w:pPr>
    </w:p>
    <w:p w:rsidR="00E93646" w:rsidRDefault="00E93646">
      <w:pPr>
        <w:spacing w:after="200" w:line="24" w:lineRule="auto"/>
        <w:rPr>
          <w:lang w:val="de-DE"/>
        </w:rPr>
      </w:pPr>
    </w:p>
    <w:tbl>
      <w:tblPr>
        <w:tblW w:w="9214" w:type="dxa"/>
        <w:tblLayout w:type="fixed"/>
        <w:tblCellMar>
          <w:left w:w="70" w:type="dxa"/>
          <w:right w:w="70" w:type="dxa"/>
        </w:tblCellMar>
        <w:tblLook w:val="0000" w:firstRow="0" w:lastRow="0" w:firstColumn="0" w:lastColumn="0" w:noHBand="0" w:noVBand="0"/>
      </w:tblPr>
      <w:tblGrid>
        <w:gridCol w:w="2268"/>
        <w:gridCol w:w="6946"/>
      </w:tblGrid>
      <w:tr w:rsidR="00E93646" w:rsidTr="00AF5A9A">
        <w:trPr>
          <w:cantSplit/>
        </w:trPr>
        <w:tc>
          <w:tcPr>
            <w:tcW w:w="2268" w:type="dxa"/>
            <w:tcBorders>
              <w:right w:val="single" w:sz="4" w:space="0" w:color="auto"/>
            </w:tcBorders>
          </w:tcPr>
          <w:p w:rsidR="00E93646" w:rsidRDefault="00E93646" w:rsidP="00FB4BB7">
            <w:pPr>
              <w:tabs>
                <w:tab w:val="right" w:pos="14175"/>
              </w:tabs>
              <w:spacing w:before="100" w:after="100"/>
              <w:rPr>
                <w:b/>
                <w:sz w:val="20"/>
                <w:lang w:val="de-DE"/>
              </w:rPr>
            </w:pPr>
            <w:r>
              <w:rPr>
                <w:b/>
                <w:sz w:val="20"/>
                <w:lang w:val="de-DE"/>
              </w:rPr>
              <w:t>Leistungskatalog:</w:t>
            </w:r>
          </w:p>
        </w:tc>
        <w:tc>
          <w:tcPr>
            <w:tcW w:w="6946" w:type="dxa"/>
            <w:tcBorders>
              <w:top w:val="single" w:sz="4" w:space="0" w:color="auto"/>
              <w:left w:val="single" w:sz="4" w:space="0" w:color="auto"/>
              <w:bottom w:val="single" w:sz="4" w:space="0" w:color="auto"/>
              <w:right w:val="single" w:sz="4" w:space="0" w:color="auto"/>
            </w:tcBorders>
          </w:tcPr>
          <w:p w:rsidR="00E93646" w:rsidRDefault="00E93646" w:rsidP="00FB4BB7">
            <w:pPr>
              <w:tabs>
                <w:tab w:val="right" w:pos="14175"/>
              </w:tabs>
              <w:spacing w:before="100" w:after="100"/>
              <w:jc w:val="center"/>
              <w:rPr>
                <w:b/>
                <w:sz w:val="20"/>
                <w:lang w:val="de-DE"/>
              </w:rPr>
            </w:pPr>
            <w:r>
              <w:rPr>
                <w:b/>
                <w:sz w:val="20"/>
                <w:lang w:val="de-DE"/>
              </w:rPr>
              <w:t xml:space="preserve">Stationäre Leistung </w:t>
            </w:r>
          </w:p>
        </w:tc>
      </w:tr>
    </w:tbl>
    <w:p w:rsidR="00E93646" w:rsidRDefault="00E93646" w:rsidP="00E93646">
      <w:pPr>
        <w:tabs>
          <w:tab w:val="right" w:pos="14175"/>
        </w:tabs>
        <w:rPr>
          <w:sz w:val="20"/>
          <w:lang w:val="de-DE"/>
        </w:rPr>
      </w:pPr>
    </w:p>
    <w:tbl>
      <w:tblPr>
        <w:tblW w:w="0" w:type="auto"/>
        <w:tblLayout w:type="fixed"/>
        <w:tblCellMar>
          <w:left w:w="70" w:type="dxa"/>
          <w:right w:w="70" w:type="dxa"/>
        </w:tblCellMar>
        <w:tblLook w:val="0000" w:firstRow="0" w:lastRow="0" w:firstColumn="0" w:lastColumn="0" w:noHBand="0" w:noVBand="0"/>
      </w:tblPr>
      <w:tblGrid>
        <w:gridCol w:w="2268"/>
        <w:gridCol w:w="6942"/>
      </w:tblGrid>
      <w:tr w:rsidR="00E93646" w:rsidRPr="00E93646" w:rsidTr="00E93646">
        <w:trPr>
          <w:cantSplit/>
        </w:trPr>
        <w:tc>
          <w:tcPr>
            <w:tcW w:w="2268" w:type="dxa"/>
          </w:tcPr>
          <w:p w:rsidR="00E93646" w:rsidRPr="00E93646" w:rsidRDefault="00E93646" w:rsidP="004C0163">
            <w:pPr>
              <w:tabs>
                <w:tab w:val="right" w:pos="14175"/>
              </w:tabs>
              <w:spacing w:before="120"/>
              <w:rPr>
                <w:rFonts w:asciiTheme="majorHAnsi" w:hAnsiTheme="majorHAnsi" w:cstheme="majorHAnsi"/>
                <w:b/>
                <w:sz w:val="20"/>
                <w:szCs w:val="20"/>
                <w:lang w:val="de-DE"/>
              </w:rPr>
            </w:pPr>
            <w:r w:rsidRPr="00E93646">
              <w:rPr>
                <w:rFonts w:asciiTheme="majorHAnsi" w:hAnsiTheme="majorHAnsi" w:cstheme="majorHAnsi"/>
                <w:b/>
                <w:sz w:val="20"/>
                <w:szCs w:val="20"/>
                <w:lang w:val="de-DE"/>
              </w:rPr>
              <w:t>Umschreibung der Leistung:</w:t>
            </w:r>
          </w:p>
        </w:tc>
        <w:tc>
          <w:tcPr>
            <w:tcW w:w="6942"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lang w:val="de-DE"/>
              </w:rPr>
            </w:pPr>
            <w:r w:rsidRPr="00E93646">
              <w:rPr>
                <w:rFonts w:asciiTheme="majorHAnsi" w:hAnsiTheme="majorHAnsi" w:cstheme="majorHAnsi"/>
                <w:sz w:val="20"/>
                <w:szCs w:val="20"/>
              </w:rPr>
              <w:t>Für</w:t>
            </w:r>
            <w:r w:rsidRPr="00E93646">
              <w:rPr>
                <w:rFonts w:asciiTheme="majorHAnsi" w:hAnsiTheme="majorHAnsi" w:cstheme="majorHAnsi"/>
                <w:b/>
                <w:sz w:val="20"/>
                <w:szCs w:val="20"/>
              </w:rPr>
              <w:t xml:space="preserve"> </w:t>
            </w:r>
            <w:r w:rsidRPr="00E93646">
              <w:rPr>
                <w:rFonts w:asciiTheme="majorHAnsi" w:hAnsiTheme="majorHAnsi" w:cstheme="majorHAnsi"/>
                <w:sz w:val="20"/>
                <w:szCs w:val="20"/>
              </w:rPr>
              <w:t>psychisch und psychosozial hoch belastete Kinder und Jugendlichen werden für eine zeitlich begrenzte Phase vielschichtige, bedarfsgerechte und individuelle Settings konzipiert</w:t>
            </w:r>
            <w:r w:rsidRPr="00E93646">
              <w:rPr>
                <w:rFonts w:asciiTheme="majorHAnsi" w:hAnsiTheme="majorHAnsi" w:cstheme="majorHAnsi"/>
                <w:sz w:val="20"/>
                <w:szCs w:val="20"/>
                <w:lang w:val="de-DE"/>
              </w:rPr>
              <w:t>. Die Kinder und Jugendlichen wohnen in den Räumlichkeiten der stationären Einrichtung (auch Wohnung) oder in einer Pflegefamilie und werden sozialpädagogisch und psychologisch ausführlich abgeklärt, intensiv begleitet, gefördert und sozial integriert. Die konsiliarische, jugendpsychiatrische Versorgung sowie die Elternarbeit sind sichergestellt. Die Kinder und Jugendlichen werden individuell in der Schule des Leistungserbringers beschult. Die Leistung „Intensive Begleitung“ umfasst das Case Management (Koordination und Kooperation von Versorgungssystemen, welche auf die vielschichtigen, individuellen Bedürfnisse ausgerichtet sind) und die intensive sozialpädagogische, psychologische und schulische Begleitung im konzipierten Betreuungssetting. Im Zentrum steht die prozesshafte und interventionsorientierte Analyse der Situation.</w:t>
            </w:r>
          </w:p>
          <w:p w:rsidR="00E93646" w:rsidRPr="00E93646" w:rsidRDefault="00E93646" w:rsidP="004C0163">
            <w:pPr>
              <w:tabs>
                <w:tab w:val="right" w:pos="14175"/>
              </w:tabs>
              <w:spacing w:before="120" w:after="120" w:line="240" w:lineRule="atLeast"/>
              <w:rPr>
                <w:rFonts w:asciiTheme="majorHAnsi" w:hAnsiTheme="majorHAnsi" w:cstheme="majorHAnsi"/>
                <w:sz w:val="20"/>
                <w:szCs w:val="20"/>
                <w:lang w:val="de-DE"/>
              </w:rPr>
            </w:pPr>
            <w:r w:rsidRPr="00E93646">
              <w:rPr>
                <w:rFonts w:asciiTheme="majorHAnsi" w:hAnsiTheme="majorHAnsi" w:cstheme="majorHAnsi"/>
                <w:sz w:val="20"/>
                <w:szCs w:val="20"/>
                <w:lang w:val="de-DE"/>
              </w:rPr>
              <w:t>Die Begleitung findet in verschiedenen Phasen statt: Die Unterbringungsphase zu Beginn (3-4 Monate), die Stabilisierungs- und Betreuungsphase dauern insgesamt maximal 18 Monate. Über eine Verlängerung entscheidet der Leistungsbesteller.</w:t>
            </w:r>
          </w:p>
        </w:tc>
      </w:tr>
      <w:tr w:rsidR="00E93646" w:rsidRPr="00E93646" w:rsidTr="00E93646">
        <w:trPr>
          <w:cantSplit/>
        </w:trPr>
        <w:tc>
          <w:tcPr>
            <w:tcW w:w="2268" w:type="dxa"/>
          </w:tcPr>
          <w:p w:rsidR="00E93646" w:rsidRPr="00E93646" w:rsidRDefault="00E93646" w:rsidP="004C0163">
            <w:pPr>
              <w:tabs>
                <w:tab w:val="right" w:pos="14175"/>
              </w:tabs>
              <w:spacing w:before="120" w:after="100"/>
              <w:rPr>
                <w:rFonts w:asciiTheme="majorHAnsi" w:hAnsiTheme="majorHAnsi" w:cstheme="majorHAnsi"/>
                <w:b/>
                <w:sz w:val="20"/>
                <w:szCs w:val="20"/>
                <w:lang w:val="de-DE"/>
              </w:rPr>
            </w:pPr>
            <w:r w:rsidRPr="00E93646">
              <w:rPr>
                <w:rFonts w:asciiTheme="majorHAnsi" w:hAnsiTheme="majorHAnsi" w:cstheme="majorHAnsi"/>
                <w:b/>
                <w:sz w:val="20"/>
                <w:szCs w:val="20"/>
                <w:lang w:val="de-DE"/>
              </w:rPr>
              <w:t>Übergeordnete Ziele:</w:t>
            </w:r>
          </w:p>
        </w:tc>
        <w:tc>
          <w:tcPr>
            <w:tcW w:w="6942"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lang w:val="de-DE"/>
              </w:rPr>
            </w:pPr>
            <w:r w:rsidRPr="00E93646">
              <w:rPr>
                <w:rFonts w:asciiTheme="majorHAnsi" w:hAnsiTheme="majorHAnsi" w:cstheme="majorHAnsi"/>
                <w:sz w:val="20"/>
                <w:szCs w:val="20"/>
              </w:rPr>
              <w:t>Das Kind oder der/die Jugendliche ist im Rahmen von vereinbarten Zielen in seiner emotionalen, sozialen, geistigen, intellektuellen und körperlichen Entwicklung unterstützt. Es wird eine psychische und soziale Stabilisierung erreicht und die soziale Integration des Kindes oder des Jugendlichen unterstützt.</w:t>
            </w:r>
            <w:r w:rsidRPr="00E93646">
              <w:rPr>
                <w:rFonts w:asciiTheme="majorHAnsi" w:hAnsiTheme="majorHAnsi" w:cstheme="majorHAnsi"/>
                <w:sz w:val="20"/>
                <w:szCs w:val="20"/>
                <w:lang w:val="de-DE"/>
              </w:rPr>
              <w:t xml:space="preserve"> </w:t>
            </w:r>
          </w:p>
        </w:tc>
      </w:tr>
      <w:tr w:rsidR="00E93646" w:rsidRPr="00E93646" w:rsidTr="00E93646">
        <w:trPr>
          <w:cantSplit/>
        </w:trPr>
        <w:tc>
          <w:tcPr>
            <w:tcW w:w="2268" w:type="dxa"/>
          </w:tcPr>
          <w:p w:rsidR="00E93646" w:rsidRPr="00E93646" w:rsidRDefault="00E93646" w:rsidP="004C0163">
            <w:pPr>
              <w:tabs>
                <w:tab w:val="right" w:pos="14175"/>
              </w:tabs>
              <w:spacing w:before="120"/>
              <w:rPr>
                <w:rFonts w:asciiTheme="majorHAnsi" w:hAnsiTheme="majorHAnsi" w:cstheme="majorHAnsi"/>
                <w:b/>
                <w:sz w:val="20"/>
                <w:szCs w:val="20"/>
                <w:lang w:val="de-DE"/>
              </w:rPr>
            </w:pPr>
            <w:r w:rsidRPr="00E93646">
              <w:rPr>
                <w:rFonts w:asciiTheme="majorHAnsi" w:hAnsiTheme="majorHAnsi" w:cstheme="majorHAnsi"/>
                <w:b/>
                <w:sz w:val="20"/>
                <w:szCs w:val="20"/>
                <w:lang w:val="de-DE"/>
              </w:rPr>
              <w:t>Empfängerschaft der Leistung:</w:t>
            </w:r>
          </w:p>
        </w:tc>
        <w:tc>
          <w:tcPr>
            <w:tcW w:w="6942"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rPr>
            </w:pPr>
            <w:r w:rsidRPr="00E93646">
              <w:rPr>
                <w:rFonts w:asciiTheme="majorHAnsi" w:hAnsiTheme="majorHAnsi" w:cstheme="majorHAnsi"/>
                <w:sz w:val="20"/>
                <w:szCs w:val="20"/>
              </w:rPr>
              <w:t>Kinder und Jugendliche, die sich in ausserordentlich schwierigen Lebenslagen befinden, namentlich bereits verschiedene Krisensituationen und Abbrüche in sozialpädagogischen Einrichtungen oder Pflegefamilien erlebt haben und auf deren spezifischen, komplexen und individuellen Betreuungs- und Bildungsbedarfe in der bisherigen stationären Unterbringung ungenügend eingegangen werden konnte.</w:t>
            </w:r>
          </w:p>
        </w:tc>
      </w:tr>
    </w:tbl>
    <w:p w:rsidR="00E93646" w:rsidRPr="00E93646" w:rsidRDefault="00E93646" w:rsidP="004C0163">
      <w:pPr>
        <w:tabs>
          <w:tab w:val="right" w:pos="14175"/>
        </w:tabs>
        <w:rPr>
          <w:rFonts w:asciiTheme="majorHAnsi" w:hAnsiTheme="majorHAnsi" w:cstheme="majorHAnsi"/>
          <w:i/>
          <w:sz w:val="20"/>
          <w:szCs w:val="20"/>
          <w:lang w:val="de-DE"/>
        </w:rPr>
      </w:pPr>
      <w:r w:rsidRPr="00E93646">
        <w:rPr>
          <w:rFonts w:asciiTheme="majorHAnsi" w:hAnsiTheme="majorHAnsi" w:cstheme="majorHAnsi"/>
          <w:i/>
          <w:sz w:val="20"/>
          <w:szCs w:val="20"/>
          <w:lang w:val="de-DE"/>
        </w:rPr>
        <w:t>Die Leistungsziele sind verbindlich. Pro Leistungsziel können mehrere Indikatoren und Standards gesetzt werden.</w:t>
      </w:r>
    </w:p>
    <w:tbl>
      <w:tblPr>
        <w:tblW w:w="0" w:type="auto"/>
        <w:tblLayout w:type="fixed"/>
        <w:tblCellMar>
          <w:left w:w="70" w:type="dxa"/>
          <w:right w:w="70" w:type="dxa"/>
        </w:tblCellMar>
        <w:tblLook w:val="0000" w:firstRow="0" w:lastRow="0" w:firstColumn="0" w:lastColumn="0" w:noHBand="0" w:noVBand="0"/>
      </w:tblPr>
      <w:tblGrid>
        <w:gridCol w:w="2268"/>
        <w:gridCol w:w="6942"/>
      </w:tblGrid>
      <w:tr w:rsidR="00E93646" w:rsidRPr="00E93646" w:rsidTr="004C0163">
        <w:trPr>
          <w:cantSplit/>
        </w:trPr>
        <w:tc>
          <w:tcPr>
            <w:tcW w:w="2268" w:type="dxa"/>
            <w:shd w:val="clear" w:color="auto" w:fill="CCCCCC"/>
          </w:tcPr>
          <w:p w:rsidR="00E93646" w:rsidRPr="00E93646" w:rsidRDefault="00E93646" w:rsidP="004C0163">
            <w:pPr>
              <w:tabs>
                <w:tab w:val="right" w:pos="14175"/>
              </w:tabs>
              <w:spacing w:before="100" w:after="100"/>
              <w:rPr>
                <w:rFonts w:asciiTheme="majorHAnsi" w:hAnsiTheme="majorHAnsi" w:cstheme="majorHAnsi"/>
                <w:b/>
                <w:sz w:val="20"/>
                <w:szCs w:val="20"/>
                <w:lang w:val="de-DE"/>
              </w:rPr>
            </w:pPr>
            <w:r w:rsidRPr="00E93646">
              <w:rPr>
                <w:rFonts w:asciiTheme="majorHAnsi" w:hAnsiTheme="majorHAnsi" w:cstheme="majorHAnsi"/>
                <w:b/>
                <w:sz w:val="20"/>
                <w:szCs w:val="20"/>
                <w:lang w:val="de-DE"/>
              </w:rPr>
              <w:lastRenderedPageBreak/>
              <w:t>Leistungsziel 1:</w:t>
            </w:r>
          </w:p>
        </w:tc>
        <w:tc>
          <w:tcPr>
            <w:tcW w:w="6942" w:type="dxa"/>
            <w:shd w:val="clear" w:color="auto" w:fill="CCCCCC"/>
          </w:tcPr>
          <w:p w:rsidR="00E93646" w:rsidRPr="00E93646" w:rsidRDefault="00E93646" w:rsidP="004C0163">
            <w:pPr>
              <w:tabs>
                <w:tab w:val="right" w:pos="14175"/>
              </w:tabs>
              <w:spacing w:before="120" w:after="120" w:line="240" w:lineRule="atLeast"/>
              <w:rPr>
                <w:rFonts w:asciiTheme="majorHAnsi" w:hAnsiTheme="majorHAnsi" w:cstheme="majorHAnsi"/>
                <w:sz w:val="20"/>
                <w:szCs w:val="20"/>
                <w:lang w:val="de-DE"/>
              </w:rPr>
            </w:pPr>
            <w:r w:rsidRPr="00E93646">
              <w:rPr>
                <w:rFonts w:asciiTheme="majorHAnsi" w:hAnsiTheme="majorHAnsi" w:cstheme="majorHAnsi"/>
                <w:sz w:val="20"/>
                <w:szCs w:val="20"/>
              </w:rPr>
              <w:t>Der Auftrag zur intensiven Begleitung und prozesshaften Analyse ist in Inhalt, Form, Umfang und einer bestimmten Dauer unter altersgerechtem Einbezug des Kindes oder der/des Jugendlichen konkretisiert. Nachdem eine erste Stabilisierung und Beruhigung der Situation erreicht werden konnte, sind konkrete, erreichbare und terminierte Ziele vereinbart, sowie die Rollen der verschiedenen Disziplinen und Akteure geklärt und aufeinander abgestimmt.</w:t>
            </w:r>
          </w:p>
        </w:tc>
      </w:tr>
      <w:tr w:rsidR="00E93646" w:rsidRPr="00E93646" w:rsidTr="004C0163">
        <w:trPr>
          <w:cantSplit/>
        </w:trPr>
        <w:tc>
          <w:tcPr>
            <w:tcW w:w="2268" w:type="dxa"/>
          </w:tcPr>
          <w:p w:rsidR="00E93646" w:rsidRPr="00E93646" w:rsidRDefault="00E93646" w:rsidP="004C0163">
            <w:pPr>
              <w:tabs>
                <w:tab w:val="right" w:pos="14175"/>
              </w:tabs>
              <w:spacing w:before="100" w:after="100"/>
              <w:rPr>
                <w:rFonts w:asciiTheme="majorHAnsi" w:hAnsiTheme="majorHAnsi" w:cstheme="majorHAnsi"/>
                <w:b/>
                <w:sz w:val="20"/>
                <w:szCs w:val="20"/>
                <w:lang w:val="de-DE"/>
              </w:rPr>
            </w:pPr>
            <w:r w:rsidRPr="00E93646">
              <w:rPr>
                <w:rFonts w:asciiTheme="majorHAnsi" w:hAnsiTheme="majorHAnsi" w:cstheme="majorHAnsi"/>
                <w:b/>
                <w:sz w:val="20"/>
                <w:szCs w:val="20"/>
                <w:lang w:val="de-DE"/>
              </w:rPr>
              <w:t>Indikator 1 für Ziel 1:</w:t>
            </w:r>
          </w:p>
        </w:tc>
        <w:tc>
          <w:tcPr>
            <w:tcW w:w="6942"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4C0163">
        <w:trPr>
          <w:cantSplit/>
        </w:trPr>
        <w:tc>
          <w:tcPr>
            <w:tcW w:w="2268" w:type="dxa"/>
          </w:tcPr>
          <w:p w:rsidR="00E93646" w:rsidRPr="00E93646" w:rsidRDefault="00E93646" w:rsidP="004C0163">
            <w:pPr>
              <w:tabs>
                <w:tab w:val="right" w:pos="14175"/>
              </w:tabs>
              <w:spacing w:before="100" w:after="100"/>
              <w:rPr>
                <w:rFonts w:asciiTheme="majorHAnsi" w:hAnsiTheme="majorHAnsi" w:cstheme="majorHAnsi"/>
                <w:b/>
                <w:sz w:val="20"/>
                <w:szCs w:val="20"/>
                <w:lang w:val="de-DE"/>
              </w:rPr>
            </w:pPr>
            <w:r w:rsidRPr="00E93646">
              <w:rPr>
                <w:rFonts w:asciiTheme="majorHAnsi" w:hAnsiTheme="majorHAnsi" w:cstheme="majorHAnsi"/>
                <w:b/>
                <w:sz w:val="20"/>
                <w:szCs w:val="20"/>
                <w:lang w:val="de-DE"/>
              </w:rPr>
              <w:t>Standard für Indikator 1:</w:t>
            </w:r>
          </w:p>
        </w:tc>
        <w:tc>
          <w:tcPr>
            <w:tcW w:w="6942"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4C0163">
        <w:trPr>
          <w:cantSplit/>
        </w:trPr>
        <w:tc>
          <w:tcPr>
            <w:tcW w:w="2268" w:type="dxa"/>
          </w:tcPr>
          <w:p w:rsidR="00E93646" w:rsidRPr="00E93646" w:rsidRDefault="00E93646" w:rsidP="004C0163">
            <w:pPr>
              <w:tabs>
                <w:tab w:val="right" w:pos="14175"/>
              </w:tabs>
              <w:spacing w:before="100" w:after="100"/>
              <w:rPr>
                <w:rFonts w:asciiTheme="majorHAnsi" w:hAnsiTheme="majorHAnsi" w:cstheme="majorHAnsi"/>
                <w:b/>
                <w:sz w:val="20"/>
                <w:szCs w:val="20"/>
                <w:lang w:val="de-DE"/>
              </w:rPr>
            </w:pPr>
            <w:r w:rsidRPr="00E93646">
              <w:rPr>
                <w:rFonts w:asciiTheme="majorHAnsi" w:hAnsiTheme="majorHAnsi" w:cstheme="majorHAnsi"/>
                <w:b/>
                <w:sz w:val="20"/>
                <w:szCs w:val="20"/>
                <w:lang w:val="de-DE"/>
              </w:rPr>
              <w:t>Methodik und Hilfsmittel</w:t>
            </w:r>
          </w:p>
        </w:tc>
        <w:tc>
          <w:tcPr>
            <w:tcW w:w="6942"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lang w:val="de-DE"/>
              </w:rPr>
            </w:pPr>
          </w:p>
        </w:tc>
      </w:tr>
    </w:tbl>
    <w:p w:rsidR="00E93646" w:rsidRPr="00E93646" w:rsidRDefault="00E93646" w:rsidP="004C0163">
      <w:pPr>
        <w:rPr>
          <w:rFonts w:asciiTheme="majorHAnsi" w:hAnsiTheme="majorHAnsi" w:cstheme="majorHAnsi"/>
          <w:sz w:val="20"/>
          <w:szCs w:val="20"/>
        </w:rPr>
      </w:pPr>
    </w:p>
    <w:tbl>
      <w:tblPr>
        <w:tblW w:w="0" w:type="auto"/>
        <w:tblLayout w:type="fixed"/>
        <w:tblCellMar>
          <w:left w:w="70" w:type="dxa"/>
          <w:right w:w="70" w:type="dxa"/>
        </w:tblCellMar>
        <w:tblLook w:val="0000" w:firstRow="0" w:lastRow="0" w:firstColumn="0" w:lastColumn="0" w:noHBand="0" w:noVBand="0"/>
      </w:tblPr>
      <w:tblGrid>
        <w:gridCol w:w="2410"/>
        <w:gridCol w:w="6800"/>
      </w:tblGrid>
      <w:tr w:rsidR="00E93646" w:rsidRPr="00E93646" w:rsidTr="00FB4BB7">
        <w:trPr>
          <w:cantSplit/>
        </w:trPr>
        <w:tc>
          <w:tcPr>
            <w:tcW w:w="2410" w:type="dxa"/>
            <w:shd w:val="clear" w:color="auto" w:fill="CCCCCC"/>
          </w:tcPr>
          <w:p w:rsidR="00E93646" w:rsidRPr="00E93646" w:rsidRDefault="00E93646" w:rsidP="004C0163">
            <w:pPr>
              <w:tabs>
                <w:tab w:val="right" w:pos="14175"/>
              </w:tabs>
              <w:spacing w:before="100" w:after="100"/>
              <w:rPr>
                <w:rFonts w:asciiTheme="majorHAnsi" w:hAnsiTheme="majorHAnsi" w:cstheme="majorHAnsi"/>
                <w:b/>
                <w:sz w:val="20"/>
                <w:szCs w:val="20"/>
                <w:lang w:val="de-DE"/>
              </w:rPr>
            </w:pPr>
            <w:r w:rsidRPr="00E93646">
              <w:rPr>
                <w:rFonts w:asciiTheme="majorHAnsi" w:hAnsiTheme="majorHAnsi" w:cstheme="majorHAnsi"/>
                <w:b/>
                <w:sz w:val="20"/>
                <w:szCs w:val="20"/>
                <w:lang w:val="de-DE"/>
              </w:rPr>
              <w:t>Leistungsziel 2:</w:t>
            </w:r>
          </w:p>
        </w:tc>
        <w:tc>
          <w:tcPr>
            <w:tcW w:w="6800" w:type="dxa"/>
            <w:shd w:val="clear" w:color="auto" w:fill="CCCCCC"/>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r w:rsidRPr="00E93646">
              <w:rPr>
                <w:rFonts w:asciiTheme="majorHAnsi" w:hAnsiTheme="majorHAnsi" w:cstheme="majorHAnsi"/>
                <w:sz w:val="20"/>
                <w:szCs w:val="20"/>
              </w:rPr>
              <w:t>Das Kind oder der/die Jugendliche ist psychisch stabil, erreicht Fortschritte im Sozialverhalten, in der Kommunikation sowie in alltagspraktischen Handlungsbereichen und ist bereit, sich nach seinen Möglichkeiten mit seiner persönlichen und familiären Situation auseinanderzusetzen.</w:t>
            </w:r>
          </w:p>
        </w:tc>
      </w:tr>
      <w:tr w:rsidR="00E93646" w:rsidRPr="00E93646" w:rsidTr="00FB4BB7">
        <w:trPr>
          <w:cantSplit/>
        </w:trPr>
        <w:tc>
          <w:tcPr>
            <w:tcW w:w="2410" w:type="dxa"/>
          </w:tcPr>
          <w:p w:rsidR="00E93646" w:rsidRPr="00E93646" w:rsidRDefault="00E93646" w:rsidP="004C0163">
            <w:pPr>
              <w:tabs>
                <w:tab w:val="right" w:pos="14175"/>
              </w:tabs>
              <w:spacing w:before="100" w:after="100"/>
              <w:rPr>
                <w:rFonts w:asciiTheme="majorHAnsi" w:hAnsiTheme="majorHAnsi" w:cstheme="majorHAnsi"/>
                <w:b/>
                <w:sz w:val="20"/>
                <w:szCs w:val="20"/>
                <w:lang w:val="de-DE"/>
              </w:rPr>
            </w:pPr>
            <w:r w:rsidRPr="00E93646">
              <w:rPr>
                <w:rFonts w:asciiTheme="majorHAnsi" w:hAnsiTheme="majorHAnsi" w:cstheme="majorHAnsi"/>
                <w:b/>
                <w:sz w:val="20"/>
                <w:szCs w:val="20"/>
                <w:lang w:val="de-DE"/>
              </w:rPr>
              <w:t>Indikator 1 für Ziel 2:</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00" w:after="100"/>
              <w:rPr>
                <w:rFonts w:asciiTheme="majorHAnsi" w:hAnsiTheme="majorHAnsi" w:cstheme="majorHAnsi"/>
                <w:b/>
                <w:sz w:val="20"/>
                <w:szCs w:val="20"/>
                <w:lang w:val="de-DE"/>
              </w:rPr>
            </w:pPr>
            <w:r w:rsidRPr="00E93646">
              <w:rPr>
                <w:rFonts w:asciiTheme="majorHAnsi" w:hAnsiTheme="majorHAnsi" w:cstheme="majorHAnsi"/>
                <w:b/>
                <w:sz w:val="20"/>
                <w:szCs w:val="20"/>
                <w:lang w:val="de-DE"/>
              </w:rPr>
              <w:t>Standard für Indikator 1:</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00" w:after="100"/>
              <w:rPr>
                <w:rFonts w:asciiTheme="majorHAnsi" w:hAnsiTheme="majorHAnsi" w:cstheme="majorHAnsi"/>
                <w:b/>
                <w:sz w:val="20"/>
                <w:szCs w:val="20"/>
                <w:lang w:val="de-DE"/>
              </w:rPr>
            </w:pPr>
            <w:r w:rsidRPr="00E93646">
              <w:rPr>
                <w:rFonts w:asciiTheme="majorHAnsi" w:hAnsiTheme="majorHAnsi" w:cstheme="majorHAnsi"/>
                <w:b/>
                <w:sz w:val="20"/>
                <w:szCs w:val="20"/>
                <w:lang w:val="de-DE"/>
              </w:rPr>
              <w:t>Methodik und Hilfsmittel</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bl>
    <w:p w:rsidR="00E93646" w:rsidRPr="00E93646" w:rsidRDefault="00E93646" w:rsidP="004C0163">
      <w:pPr>
        <w:rPr>
          <w:rFonts w:asciiTheme="majorHAnsi" w:hAnsiTheme="majorHAnsi" w:cstheme="majorHAnsi"/>
          <w:sz w:val="20"/>
          <w:szCs w:val="20"/>
        </w:rPr>
      </w:pPr>
    </w:p>
    <w:tbl>
      <w:tblPr>
        <w:tblW w:w="9210" w:type="dxa"/>
        <w:tblLayout w:type="fixed"/>
        <w:tblCellMar>
          <w:left w:w="70" w:type="dxa"/>
          <w:right w:w="70" w:type="dxa"/>
        </w:tblCellMar>
        <w:tblLook w:val="0000" w:firstRow="0" w:lastRow="0" w:firstColumn="0" w:lastColumn="0" w:noHBand="0" w:noVBand="0"/>
      </w:tblPr>
      <w:tblGrid>
        <w:gridCol w:w="2410"/>
        <w:gridCol w:w="6800"/>
      </w:tblGrid>
      <w:tr w:rsidR="00E93646" w:rsidRPr="00E93646" w:rsidTr="00FB4BB7">
        <w:trPr>
          <w:cantSplit/>
        </w:trPr>
        <w:tc>
          <w:tcPr>
            <w:tcW w:w="2410" w:type="dxa"/>
            <w:shd w:val="clear" w:color="auto" w:fill="CCCCCC"/>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Leistungsziel 3:</w:t>
            </w:r>
          </w:p>
        </w:tc>
        <w:tc>
          <w:tcPr>
            <w:tcW w:w="6800" w:type="dxa"/>
            <w:shd w:val="clear" w:color="auto" w:fill="CCCCCC"/>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r w:rsidRPr="00E93646">
              <w:rPr>
                <w:rFonts w:asciiTheme="majorHAnsi" w:hAnsiTheme="majorHAnsi" w:cstheme="majorHAnsi"/>
                <w:sz w:val="20"/>
                <w:szCs w:val="20"/>
              </w:rPr>
              <w:t>Das Kind oder der/die Jugendliche ist in seiner schulischen Entwicklung begleitet und unterstützt. Die sozialpädagogische Förderplanung und die Förderplanung in der Schule sowie die ergänzenden therapeutischen Massnahmen sind abgesprochen und aufeinander abgestimmt. Die Unterstützung einer allfälligen Ausbildung ist sichergestellt.</w:t>
            </w: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Indikator 1 für Ziel 3:</w:t>
            </w:r>
          </w:p>
        </w:tc>
        <w:tc>
          <w:tcPr>
            <w:tcW w:w="6800" w:type="dxa"/>
          </w:tcPr>
          <w:p w:rsidR="00E93646" w:rsidRPr="00E93646" w:rsidRDefault="00E93646" w:rsidP="007D5340">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Standard für Indikator 1:</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Methodik und Hilfsmittel</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bl>
    <w:p w:rsidR="00E93646" w:rsidRPr="00E93646" w:rsidRDefault="00E93646" w:rsidP="004C0163">
      <w:pPr>
        <w:rPr>
          <w:rFonts w:asciiTheme="majorHAnsi" w:hAnsiTheme="majorHAnsi" w:cstheme="majorHAnsi"/>
          <w:sz w:val="20"/>
          <w:szCs w:val="20"/>
        </w:rPr>
      </w:pPr>
    </w:p>
    <w:tbl>
      <w:tblPr>
        <w:tblW w:w="9210" w:type="dxa"/>
        <w:tblLayout w:type="fixed"/>
        <w:tblCellMar>
          <w:left w:w="70" w:type="dxa"/>
          <w:right w:w="70" w:type="dxa"/>
        </w:tblCellMar>
        <w:tblLook w:val="0000" w:firstRow="0" w:lastRow="0" w:firstColumn="0" w:lastColumn="0" w:noHBand="0" w:noVBand="0"/>
      </w:tblPr>
      <w:tblGrid>
        <w:gridCol w:w="2410"/>
        <w:gridCol w:w="6800"/>
      </w:tblGrid>
      <w:tr w:rsidR="00E93646" w:rsidRPr="00E93646" w:rsidTr="00FB4BB7">
        <w:trPr>
          <w:cantSplit/>
        </w:trPr>
        <w:tc>
          <w:tcPr>
            <w:tcW w:w="2410" w:type="dxa"/>
            <w:shd w:val="clear" w:color="auto" w:fill="CCCCCC"/>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Leistungsziel 4:</w:t>
            </w:r>
          </w:p>
        </w:tc>
        <w:tc>
          <w:tcPr>
            <w:tcW w:w="6800" w:type="dxa"/>
            <w:shd w:val="clear" w:color="auto" w:fill="CCCCCC"/>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r w:rsidRPr="00E93646">
              <w:rPr>
                <w:rFonts w:asciiTheme="majorHAnsi" w:hAnsiTheme="majorHAnsi" w:cstheme="majorHAnsi"/>
                <w:sz w:val="20"/>
                <w:szCs w:val="20"/>
              </w:rPr>
              <w:t>In Krisensituationen ist die fachgerechte Betreuung und Unterbringung gemäss dem individuellen Bedarf des Kindes oder der/des Jugendlichen rund um die Uhr sichergestellt.</w:t>
            </w: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Indikator 1 für Ziel 4:</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Standard für Indikator 1:</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Methodik und Hilfsmittel</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bl>
    <w:p w:rsidR="00E93646" w:rsidRPr="00E93646" w:rsidRDefault="00E93646" w:rsidP="004C0163">
      <w:pPr>
        <w:rPr>
          <w:rFonts w:asciiTheme="majorHAnsi" w:hAnsiTheme="majorHAnsi" w:cstheme="majorHAnsi"/>
          <w:sz w:val="20"/>
          <w:szCs w:val="20"/>
        </w:rPr>
      </w:pPr>
    </w:p>
    <w:tbl>
      <w:tblPr>
        <w:tblW w:w="0" w:type="auto"/>
        <w:tblLayout w:type="fixed"/>
        <w:tblCellMar>
          <w:left w:w="70" w:type="dxa"/>
          <w:right w:w="70" w:type="dxa"/>
        </w:tblCellMar>
        <w:tblLook w:val="0000" w:firstRow="0" w:lastRow="0" w:firstColumn="0" w:lastColumn="0" w:noHBand="0" w:noVBand="0"/>
      </w:tblPr>
      <w:tblGrid>
        <w:gridCol w:w="2410"/>
        <w:gridCol w:w="6800"/>
      </w:tblGrid>
      <w:tr w:rsidR="00E93646" w:rsidRPr="00E93646" w:rsidTr="00FB4BB7">
        <w:trPr>
          <w:cantSplit/>
        </w:trPr>
        <w:tc>
          <w:tcPr>
            <w:tcW w:w="2410" w:type="dxa"/>
            <w:shd w:val="clear" w:color="auto" w:fill="CCCCCC"/>
          </w:tcPr>
          <w:p w:rsidR="00E93646" w:rsidRPr="00E93646" w:rsidRDefault="00E93646" w:rsidP="004C0163">
            <w:pPr>
              <w:tabs>
                <w:tab w:val="right" w:pos="14175"/>
              </w:tabs>
              <w:spacing w:before="20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Leistungsziel 5:</w:t>
            </w:r>
          </w:p>
        </w:tc>
        <w:tc>
          <w:tcPr>
            <w:tcW w:w="6800" w:type="dxa"/>
            <w:shd w:val="clear" w:color="auto" w:fill="CCCCCC"/>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r w:rsidRPr="00E93646">
              <w:rPr>
                <w:rFonts w:asciiTheme="majorHAnsi" w:hAnsiTheme="majorHAnsi" w:cstheme="majorHAnsi"/>
                <w:sz w:val="20"/>
                <w:szCs w:val="20"/>
              </w:rPr>
              <w:t>Das Kind oder der/die Jugendliche ist unterstützt, seine/ihre Beziehung zum sozialen Umfeld und/oder zur Herkunftsfamilie zu gestalten. Die Herkunftsfamilie ist in geeigneter Form im Prozess einbezogen und wird unterstützt.</w:t>
            </w: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Indikator 1 für Ziel 5:</w:t>
            </w:r>
          </w:p>
        </w:tc>
        <w:tc>
          <w:tcPr>
            <w:tcW w:w="6800" w:type="dxa"/>
          </w:tcPr>
          <w:p w:rsidR="00E93646" w:rsidRPr="00E93646" w:rsidRDefault="00E93646" w:rsidP="0020267A">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Standard für Indikator 1:</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Indikator 2 für Ziel 5:</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Standard 1 für Indikator 2:</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Standard 2 für Indikator 2</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Indikator 3 für Ziel 5:</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Standard 1 für Indikator 3:</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Methodik und Hilfsmittel</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bl>
    <w:p w:rsidR="00E93646" w:rsidRPr="00E93646" w:rsidRDefault="00E93646" w:rsidP="004C0163">
      <w:pPr>
        <w:tabs>
          <w:tab w:val="right" w:pos="14175"/>
        </w:tabs>
        <w:rPr>
          <w:rFonts w:asciiTheme="majorHAnsi" w:hAnsiTheme="majorHAnsi" w:cstheme="majorHAnsi"/>
          <w:sz w:val="20"/>
          <w:szCs w:val="20"/>
          <w:lang w:val="de-DE"/>
        </w:rPr>
      </w:pPr>
    </w:p>
    <w:tbl>
      <w:tblPr>
        <w:tblW w:w="0" w:type="auto"/>
        <w:tblLayout w:type="fixed"/>
        <w:tblCellMar>
          <w:left w:w="70" w:type="dxa"/>
          <w:right w:w="70" w:type="dxa"/>
        </w:tblCellMar>
        <w:tblLook w:val="0000" w:firstRow="0" w:lastRow="0" w:firstColumn="0" w:lastColumn="0" w:noHBand="0" w:noVBand="0"/>
      </w:tblPr>
      <w:tblGrid>
        <w:gridCol w:w="2410"/>
        <w:gridCol w:w="6800"/>
      </w:tblGrid>
      <w:tr w:rsidR="00E93646" w:rsidRPr="00E93646" w:rsidTr="00FB4BB7">
        <w:trPr>
          <w:cantSplit/>
        </w:trPr>
        <w:tc>
          <w:tcPr>
            <w:tcW w:w="2410" w:type="dxa"/>
            <w:shd w:val="clear" w:color="auto" w:fill="CCCCCC"/>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Leistungsziel 6:</w:t>
            </w:r>
          </w:p>
          <w:p w:rsidR="00E93646" w:rsidRPr="00E93646" w:rsidRDefault="00E93646" w:rsidP="004C0163">
            <w:pPr>
              <w:rPr>
                <w:rFonts w:asciiTheme="majorHAnsi" w:hAnsiTheme="majorHAnsi" w:cstheme="majorHAnsi"/>
                <w:sz w:val="20"/>
                <w:szCs w:val="20"/>
                <w:lang w:val="de-DE"/>
              </w:rPr>
            </w:pPr>
          </w:p>
          <w:p w:rsidR="00E93646" w:rsidRPr="00E93646" w:rsidRDefault="00E93646" w:rsidP="004C0163">
            <w:pPr>
              <w:rPr>
                <w:rFonts w:asciiTheme="majorHAnsi" w:hAnsiTheme="majorHAnsi" w:cstheme="majorHAnsi"/>
                <w:sz w:val="20"/>
                <w:szCs w:val="20"/>
                <w:lang w:val="de-DE"/>
              </w:rPr>
            </w:pPr>
          </w:p>
          <w:p w:rsidR="00E93646" w:rsidRPr="00E93646" w:rsidRDefault="00E93646" w:rsidP="004C0163">
            <w:pPr>
              <w:rPr>
                <w:rFonts w:asciiTheme="majorHAnsi" w:hAnsiTheme="majorHAnsi" w:cstheme="majorHAnsi"/>
                <w:sz w:val="20"/>
                <w:szCs w:val="20"/>
                <w:lang w:val="de-DE"/>
              </w:rPr>
            </w:pPr>
          </w:p>
          <w:p w:rsidR="00E93646" w:rsidRPr="00E93646" w:rsidRDefault="00E93646" w:rsidP="004C0163">
            <w:pPr>
              <w:rPr>
                <w:rFonts w:asciiTheme="majorHAnsi" w:hAnsiTheme="majorHAnsi" w:cstheme="majorHAnsi"/>
                <w:sz w:val="20"/>
                <w:szCs w:val="20"/>
                <w:lang w:val="de-DE"/>
              </w:rPr>
            </w:pPr>
          </w:p>
          <w:p w:rsidR="00E93646" w:rsidRPr="00E93646" w:rsidRDefault="00E93646" w:rsidP="004C0163">
            <w:pPr>
              <w:rPr>
                <w:rFonts w:asciiTheme="majorHAnsi" w:hAnsiTheme="majorHAnsi" w:cstheme="majorHAnsi"/>
                <w:sz w:val="20"/>
                <w:szCs w:val="20"/>
                <w:lang w:val="de-DE"/>
              </w:rPr>
            </w:pPr>
          </w:p>
        </w:tc>
        <w:tc>
          <w:tcPr>
            <w:tcW w:w="6800" w:type="dxa"/>
            <w:shd w:val="clear" w:color="auto" w:fill="CCCCCC"/>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r w:rsidRPr="00E93646">
              <w:rPr>
                <w:rFonts w:asciiTheme="majorHAnsi" w:hAnsiTheme="majorHAnsi" w:cstheme="majorHAnsi"/>
                <w:sz w:val="20"/>
                <w:szCs w:val="20"/>
              </w:rPr>
              <w:t>Das Kind oder der/die Jugendliche ist nach dem geplanten Austritt in ein geeignetes und förderliches Umfeld integriert. Die weitere Betreuung ist eingeleitet, sofern notwendig.</w:t>
            </w:r>
          </w:p>
        </w:tc>
      </w:tr>
      <w:tr w:rsidR="00E93646" w:rsidRPr="00E93646" w:rsidTr="00FB4BB7">
        <w:trPr>
          <w:cantSplit/>
        </w:trPr>
        <w:tc>
          <w:tcPr>
            <w:tcW w:w="2410" w:type="dxa"/>
          </w:tcPr>
          <w:p w:rsidR="00E93646" w:rsidRPr="007D5340" w:rsidRDefault="00E93646" w:rsidP="007D5340">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Indikator 1 für Ziel 6:</w:t>
            </w:r>
          </w:p>
        </w:tc>
        <w:tc>
          <w:tcPr>
            <w:tcW w:w="6800" w:type="dxa"/>
          </w:tcPr>
          <w:p w:rsidR="00E93646" w:rsidRPr="00E93646" w:rsidRDefault="00E93646" w:rsidP="007D5340">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Standard 1 für Indikator 1;</w:t>
            </w:r>
          </w:p>
        </w:tc>
        <w:tc>
          <w:tcPr>
            <w:tcW w:w="6800" w:type="dxa"/>
          </w:tcPr>
          <w:p w:rsidR="00E93646" w:rsidRPr="00E93646" w:rsidDel="00862631"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Indikator 2 für Ziel 6:</w:t>
            </w:r>
          </w:p>
        </w:tc>
        <w:tc>
          <w:tcPr>
            <w:tcW w:w="6800" w:type="dxa"/>
          </w:tcPr>
          <w:p w:rsidR="00E93646" w:rsidRPr="00E93646" w:rsidDel="00862631"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rPr>
            </w:pPr>
            <w:r w:rsidRPr="00E93646">
              <w:rPr>
                <w:rFonts w:asciiTheme="majorHAnsi" w:hAnsiTheme="majorHAnsi" w:cstheme="majorHAnsi"/>
                <w:b/>
                <w:sz w:val="20"/>
                <w:szCs w:val="20"/>
              </w:rPr>
              <w:t>Standard für Indikator 2:</w:t>
            </w:r>
          </w:p>
        </w:tc>
        <w:tc>
          <w:tcPr>
            <w:tcW w:w="6800" w:type="dxa"/>
          </w:tcPr>
          <w:p w:rsidR="00E93646" w:rsidRPr="00E93646" w:rsidDel="00862631" w:rsidRDefault="00E93646" w:rsidP="004C0163">
            <w:pPr>
              <w:tabs>
                <w:tab w:val="right" w:pos="14175"/>
              </w:tabs>
              <w:spacing w:before="120" w:after="120" w:line="240" w:lineRule="atLeast"/>
              <w:rPr>
                <w:rFonts w:asciiTheme="majorHAnsi" w:hAnsiTheme="majorHAnsi" w:cstheme="majorHAnsi"/>
                <w:sz w:val="20"/>
                <w:szCs w:val="20"/>
              </w:rPr>
            </w:pPr>
          </w:p>
        </w:tc>
      </w:tr>
      <w:tr w:rsidR="00E93646" w:rsidRPr="00E93646" w:rsidTr="00FB4BB7">
        <w:trPr>
          <w:cantSplit/>
        </w:trPr>
        <w:tc>
          <w:tcPr>
            <w:tcW w:w="2410" w:type="dxa"/>
          </w:tcPr>
          <w:p w:rsidR="00E93646" w:rsidRPr="00E93646" w:rsidRDefault="00E93646" w:rsidP="004C0163">
            <w:pPr>
              <w:tabs>
                <w:tab w:val="right" w:pos="14175"/>
              </w:tabs>
              <w:spacing w:before="120" w:after="120" w:line="240" w:lineRule="atLeast"/>
              <w:rPr>
                <w:rFonts w:asciiTheme="majorHAnsi" w:hAnsiTheme="majorHAnsi" w:cstheme="majorHAnsi"/>
                <w:b/>
                <w:sz w:val="20"/>
                <w:szCs w:val="20"/>
                <w:lang w:val="de-DE"/>
              </w:rPr>
            </w:pPr>
            <w:r w:rsidRPr="00E93646">
              <w:rPr>
                <w:rFonts w:asciiTheme="majorHAnsi" w:hAnsiTheme="majorHAnsi" w:cstheme="majorHAnsi"/>
                <w:b/>
                <w:sz w:val="20"/>
                <w:szCs w:val="20"/>
                <w:lang w:val="de-DE"/>
              </w:rPr>
              <w:t>Methodik und Hilfsmittel</w:t>
            </w:r>
          </w:p>
        </w:tc>
        <w:tc>
          <w:tcPr>
            <w:tcW w:w="6800" w:type="dxa"/>
          </w:tcPr>
          <w:p w:rsidR="00E93646" w:rsidRPr="00E93646" w:rsidRDefault="00E93646" w:rsidP="004C0163">
            <w:pPr>
              <w:tabs>
                <w:tab w:val="right" w:pos="14175"/>
              </w:tabs>
              <w:spacing w:before="120" w:after="120" w:line="240" w:lineRule="atLeast"/>
              <w:rPr>
                <w:rFonts w:asciiTheme="majorHAnsi" w:hAnsiTheme="majorHAnsi" w:cstheme="majorHAnsi"/>
                <w:sz w:val="20"/>
                <w:szCs w:val="20"/>
              </w:rPr>
            </w:pPr>
          </w:p>
        </w:tc>
      </w:tr>
    </w:tbl>
    <w:p w:rsidR="00E93646" w:rsidRPr="00E93646" w:rsidRDefault="00E93646" w:rsidP="004C0163">
      <w:pPr>
        <w:spacing w:after="200" w:line="24" w:lineRule="auto"/>
        <w:rPr>
          <w:rFonts w:asciiTheme="majorHAnsi" w:hAnsiTheme="majorHAnsi" w:cstheme="majorHAnsi"/>
          <w:sz w:val="20"/>
          <w:szCs w:val="20"/>
          <w:lang w:val="de-DE"/>
        </w:rPr>
      </w:pPr>
    </w:p>
    <w:sectPr w:rsidR="00E93646" w:rsidRPr="00E93646" w:rsidSect="007254A0">
      <w:headerReference w:type="even" r:id="rId8"/>
      <w:headerReference w:type="default" r:id="rId9"/>
      <w:footerReference w:type="even" r:id="rId10"/>
      <w:footerReference w:type="default" r:id="rId11"/>
      <w:headerReference w:type="first" r:id="rId12"/>
      <w:footerReference w:type="first" r:id="rId1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DBC" w:rsidRDefault="00376DBC" w:rsidP="00F91D37">
      <w:pPr>
        <w:spacing w:line="240" w:lineRule="auto"/>
      </w:pPr>
      <w:r>
        <w:separator/>
      </w:r>
    </w:p>
  </w:endnote>
  <w:endnote w:type="continuationSeparator" w:id="0">
    <w:p w:rsidR="00376DBC" w:rsidRDefault="00376DB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5B" w:rsidRDefault="000348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091664" w:rsidRPr="00091664">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664">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091664" w:rsidRPr="00091664">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664">
                      <w:rPr>
                        <w:noProof/>
                      </w:rPr>
                      <w:t>3</w:t>
                    </w:r>
                    <w:r>
                      <w:rPr>
                        <w:noProof/>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3C4D36" w:rsidRDefault="00797FDE"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091664" w:rsidRPr="0009166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664">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091664" w:rsidRPr="00091664">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664">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DBC" w:rsidRDefault="00376DBC" w:rsidP="00F91D37">
      <w:pPr>
        <w:spacing w:line="240" w:lineRule="auto"/>
      </w:pPr>
    </w:p>
    <w:p w:rsidR="00376DBC" w:rsidRDefault="00376DBC" w:rsidP="00F91D37">
      <w:pPr>
        <w:spacing w:line="240" w:lineRule="auto"/>
      </w:pPr>
    </w:p>
  </w:footnote>
  <w:footnote w:type="continuationSeparator" w:id="0">
    <w:p w:rsidR="00376DBC" w:rsidRDefault="00376DB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5B" w:rsidRDefault="000348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D5069D" w:rsidRPr="00832D99" w:rsidTr="00840B34">
      <w:tc>
        <w:tcPr>
          <w:tcW w:w="5100" w:type="dxa"/>
        </w:tcPr>
        <w:p w:rsidR="00D5069D" w:rsidRPr="00D5069D" w:rsidRDefault="00D5069D" w:rsidP="00840B34">
          <w:pPr>
            <w:pStyle w:val="Kopfzeile"/>
            <w:rPr>
              <w:color w:val="FFFFFF" w:themeColor="background1"/>
            </w:rPr>
          </w:pPr>
        </w:p>
        <w:p w:rsidR="00D5069D" w:rsidRPr="00832D99" w:rsidRDefault="00D5069D" w:rsidP="00840B34">
          <w:pPr>
            <w:pStyle w:val="Kopfzeile"/>
          </w:pPr>
        </w:p>
      </w:tc>
      <w:tc>
        <w:tcPr>
          <w:tcW w:w="4878" w:type="dxa"/>
        </w:tcPr>
        <w:p w:rsidR="00D5069D" w:rsidRPr="00E93646" w:rsidRDefault="00D5069D" w:rsidP="00840B34">
          <w:pPr>
            <w:pStyle w:val="Kopfzeile"/>
          </w:pPr>
          <w:r w:rsidRPr="00E93646">
            <w:rPr>
              <w:lang w:val="de-DE"/>
            </w:rPr>
            <w:fldChar w:fldCharType="begin"/>
          </w:r>
          <w:r w:rsidRPr="00E93646">
            <w:rPr>
              <w:lang w:val="de-DE"/>
            </w:rPr>
            <w:instrText xml:space="preserve"> STYLEREF  Brieftitel  \* MERGEFORMAT </w:instrText>
          </w:r>
          <w:r w:rsidRPr="00E93646">
            <w:rPr>
              <w:lang w:val="de-DE"/>
            </w:rPr>
            <w:fldChar w:fldCharType="separate"/>
          </w:r>
          <w:r w:rsidR="00091664" w:rsidRPr="00091664">
            <w:rPr>
              <w:bCs w:val="0"/>
              <w:lang w:val="de-DE"/>
            </w:rPr>
            <w:t>Leistung: Intensive Begleitung in der stationären Unterbringung</w:t>
          </w:r>
          <w:r w:rsidRPr="00E93646">
            <w:rPr>
              <w:lang w:val="de-DE"/>
            </w:rPr>
            <w:fldChar w:fldCharType="end"/>
          </w:r>
        </w:p>
      </w:tc>
    </w:tr>
  </w:tbl>
  <w:p w:rsidR="00797FDE" w:rsidRPr="0039616D" w:rsidRDefault="00D5069D" w:rsidP="00D5069D">
    <w:pPr>
      <w:pStyle w:val="Kopfzeile"/>
    </w:pPr>
    <w:r w:rsidRPr="00B0249E">
      <w:drawing>
        <wp:anchor distT="0" distB="0" distL="114300" distR="114300" simplePos="0" relativeHeight="251679743" behindDoc="0" locked="1" layoutInCell="1" allowOverlap="1" wp14:anchorId="035BFA24" wp14:editId="7A97F723">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D97336"/>
    <w:multiLevelType w:val="multilevel"/>
    <w:tmpl w:val="08070025"/>
    <w:lvl w:ilvl="0">
      <w:start w:val="1"/>
      <w:numFmt w:val="decimal"/>
      <w:lvlText w:val="%1"/>
      <w:lvlJc w:val="left"/>
      <w:pPr>
        <w:ind w:left="716" w:hanging="432"/>
      </w:pPr>
    </w:lvl>
    <w:lvl w:ilvl="1">
      <w:start w:val="1"/>
      <w:numFmt w:val="decimal"/>
      <w:lvlText w:val="%1.%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C"/>
    <w:rsid w:val="00002978"/>
    <w:rsid w:val="0001010F"/>
    <w:rsid w:val="000116E1"/>
    <w:rsid w:val="000118C1"/>
    <w:rsid w:val="00015D48"/>
    <w:rsid w:val="0002147A"/>
    <w:rsid w:val="00022547"/>
    <w:rsid w:val="000258FF"/>
    <w:rsid w:val="000266B7"/>
    <w:rsid w:val="0002739A"/>
    <w:rsid w:val="00032B92"/>
    <w:rsid w:val="0003485B"/>
    <w:rsid w:val="000409C8"/>
    <w:rsid w:val="00041700"/>
    <w:rsid w:val="0004410F"/>
    <w:rsid w:val="00045DA0"/>
    <w:rsid w:val="0004775B"/>
    <w:rsid w:val="000529A7"/>
    <w:rsid w:val="00054BDC"/>
    <w:rsid w:val="000610F6"/>
    <w:rsid w:val="00061F5D"/>
    <w:rsid w:val="00063BC2"/>
    <w:rsid w:val="000701F1"/>
    <w:rsid w:val="0007095A"/>
    <w:rsid w:val="00071780"/>
    <w:rsid w:val="000822A6"/>
    <w:rsid w:val="000823C7"/>
    <w:rsid w:val="00084759"/>
    <w:rsid w:val="00091664"/>
    <w:rsid w:val="00095CB1"/>
    <w:rsid w:val="0009664E"/>
    <w:rsid w:val="00096E8E"/>
    <w:rsid w:val="00097476"/>
    <w:rsid w:val="000A1884"/>
    <w:rsid w:val="000A42E5"/>
    <w:rsid w:val="000B0159"/>
    <w:rsid w:val="000B595D"/>
    <w:rsid w:val="000B64EC"/>
    <w:rsid w:val="000C49C1"/>
    <w:rsid w:val="000C5AA0"/>
    <w:rsid w:val="000D06EA"/>
    <w:rsid w:val="000D1743"/>
    <w:rsid w:val="000D2B21"/>
    <w:rsid w:val="000D7F08"/>
    <w:rsid w:val="000E0CEF"/>
    <w:rsid w:val="000E174A"/>
    <w:rsid w:val="000E756F"/>
    <w:rsid w:val="000F037E"/>
    <w:rsid w:val="000F576F"/>
    <w:rsid w:val="000F78CE"/>
    <w:rsid w:val="0010021F"/>
    <w:rsid w:val="00102345"/>
    <w:rsid w:val="00105C3D"/>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67CDF"/>
    <w:rsid w:val="0017672D"/>
    <w:rsid w:val="00190A82"/>
    <w:rsid w:val="00190F94"/>
    <w:rsid w:val="00196ABC"/>
    <w:rsid w:val="00196B03"/>
    <w:rsid w:val="00196C0B"/>
    <w:rsid w:val="001A0029"/>
    <w:rsid w:val="001A666F"/>
    <w:rsid w:val="001B166D"/>
    <w:rsid w:val="001B1F85"/>
    <w:rsid w:val="001B4DBF"/>
    <w:rsid w:val="001B5E85"/>
    <w:rsid w:val="001C4D4E"/>
    <w:rsid w:val="001D546C"/>
    <w:rsid w:val="001E2720"/>
    <w:rsid w:val="001E3FF4"/>
    <w:rsid w:val="001F2AA2"/>
    <w:rsid w:val="001F4671"/>
    <w:rsid w:val="001F4A7E"/>
    <w:rsid w:val="001F4B8C"/>
    <w:rsid w:val="001F5DB0"/>
    <w:rsid w:val="002008D7"/>
    <w:rsid w:val="0020267A"/>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1203"/>
    <w:rsid w:val="003722B9"/>
    <w:rsid w:val="003757E4"/>
    <w:rsid w:val="00375834"/>
    <w:rsid w:val="00375D0E"/>
    <w:rsid w:val="00376DBC"/>
    <w:rsid w:val="003771E2"/>
    <w:rsid w:val="00380D67"/>
    <w:rsid w:val="0039090B"/>
    <w:rsid w:val="00396082"/>
    <w:rsid w:val="0039616D"/>
    <w:rsid w:val="00396A4E"/>
    <w:rsid w:val="003A396E"/>
    <w:rsid w:val="003B02F8"/>
    <w:rsid w:val="003B2CBD"/>
    <w:rsid w:val="003B3A28"/>
    <w:rsid w:val="003B4BF5"/>
    <w:rsid w:val="003C4D36"/>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1FE5"/>
    <w:rsid w:val="0049364E"/>
    <w:rsid w:val="00494FD7"/>
    <w:rsid w:val="0049577D"/>
    <w:rsid w:val="004A039B"/>
    <w:rsid w:val="004A0479"/>
    <w:rsid w:val="004A41E9"/>
    <w:rsid w:val="004A60C5"/>
    <w:rsid w:val="004B0FDB"/>
    <w:rsid w:val="004B6A97"/>
    <w:rsid w:val="004C0163"/>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06DAC"/>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2033"/>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B7E7D"/>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4227"/>
    <w:rsid w:val="00770AAF"/>
    <w:rsid w:val="00771F4F"/>
    <w:rsid w:val="007721BF"/>
    <w:rsid w:val="00774E70"/>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5340"/>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980"/>
    <w:rsid w:val="00883CC4"/>
    <w:rsid w:val="008849F4"/>
    <w:rsid w:val="00886881"/>
    <w:rsid w:val="0089690A"/>
    <w:rsid w:val="008A2609"/>
    <w:rsid w:val="008A3A66"/>
    <w:rsid w:val="008B6C1A"/>
    <w:rsid w:val="008B6E4E"/>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37984"/>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860"/>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5A9A"/>
    <w:rsid w:val="00AF7575"/>
    <w:rsid w:val="00AF7BA9"/>
    <w:rsid w:val="00AF7CA8"/>
    <w:rsid w:val="00B0249E"/>
    <w:rsid w:val="00B02EC7"/>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888"/>
    <w:rsid w:val="00BC3E90"/>
    <w:rsid w:val="00BC655F"/>
    <w:rsid w:val="00BD1CCF"/>
    <w:rsid w:val="00BD3717"/>
    <w:rsid w:val="00BD4A9C"/>
    <w:rsid w:val="00BE1E62"/>
    <w:rsid w:val="00BE4370"/>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14B9"/>
    <w:rsid w:val="00C470F6"/>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72E"/>
    <w:rsid w:val="00CB399B"/>
    <w:rsid w:val="00CC30D8"/>
    <w:rsid w:val="00CD159A"/>
    <w:rsid w:val="00CE0AE1"/>
    <w:rsid w:val="00CE0B88"/>
    <w:rsid w:val="00CF08BB"/>
    <w:rsid w:val="00CF4B38"/>
    <w:rsid w:val="00D030AD"/>
    <w:rsid w:val="00D05267"/>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05FC"/>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AC1"/>
    <w:rsid w:val="00E66B3B"/>
    <w:rsid w:val="00E73CB2"/>
    <w:rsid w:val="00E746D7"/>
    <w:rsid w:val="00E75E18"/>
    <w:rsid w:val="00E839BA"/>
    <w:rsid w:val="00E8428A"/>
    <w:rsid w:val="00E90D03"/>
    <w:rsid w:val="00E93646"/>
    <w:rsid w:val="00E949A8"/>
    <w:rsid w:val="00E96364"/>
    <w:rsid w:val="00EA0F01"/>
    <w:rsid w:val="00EA5080"/>
    <w:rsid w:val="00EA59B8"/>
    <w:rsid w:val="00EA5A01"/>
    <w:rsid w:val="00EB4FB0"/>
    <w:rsid w:val="00EC1D69"/>
    <w:rsid w:val="00EC2930"/>
    <w:rsid w:val="00EC2DF9"/>
    <w:rsid w:val="00EC3916"/>
    <w:rsid w:val="00EC5068"/>
    <w:rsid w:val="00EC6A5B"/>
    <w:rsid w:val="00EC6EC9"/>
    <w:rsid w:val="00ED240B"/>
    <w:rsid w:val="00ED423C"/>
    <w:rsid w:val="00ED60E9"/>
    <w:rsid w:val="00EE0BC4"/>
    <w:rsid w:val="00EE6E36"/>
    <w:rsid w:val="00EF1AEA"/>
    <w:rsid w:val="00EF5E4D"/>
    <w:rsid w:val="00F016BC"/>
    <w:rsid w:val="00F01EA9"/>
    <w:rsid w:val="00F03F53"/>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4C89"/>
    <w:rsid w:val="00FB5828"/>
    <w:rsid w:val="00FB657F"/>
    <w:rsid w:val="00FB7DDF"/>
    <w:rsid w:val="00FC1964"/>
    <w:rsid w:val="00FC39CD"/>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0FE21DD7-F491-48F7-9F8B-ECDB0669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3A1112D7-E3C4-4561-9BC5-7C213D58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Vorlage Leistungsbeschreibung: Intensive Begleitung in der stationären Unterbringung</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Leistungsbeschreibung: Intensive Begleitung in der stationären Unterbringung</dc:title>
  <dc:creator>KJA</dc:creator>
  <dc:description>Dokumentennummer</dc:description>
  <cp:lastModifiedBy>Waeber Sarah, DIJ-KJA</cp:lastModifiedBy>
  <cp:revision>2</cp:revision>
  <cp:lastPrinted>2019-09-11T20:00:00Z</cp:lastPrinted>
  <dcterms:created xsi:type="dcterms:W3CDTF">2020-11-02T21:04:00Z</dcterms:created>
  <dcterms:modified xsi:type="dcterms:W3CDTF">2020-11-02T21:04:00Z</dcterms:modified>
</cp:coreProperties>
</file>