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376DBC" w:rsidRPr="00336989" w:rsidTr="004D5F14">
        <w:trPr>
          <w:trHeight w:val="1219"/>
        </w:trPr>
        <w:tc>
          <w:tcPr>
            <w:tcW w:w="5102" w:type="dxa"/>
            <w:vMerge w:val="restart"/>
          </w:tcPr>
          <w:p w:rsidR="00376DBC" w:rsidRPr="00336989" w:rsidRDefault="00376DBC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:rsidR="00376DBC" w:rsidRPr="00336989" w:rsidRDefault="00376DBC" w:rsidP="003E0D7F">
            <w:pPr>
              <w:pStyle w:val="Text85pt"/>
            </w:pPr>
            <w:r>
              <w:t>KJA - Kantonales Jugendamt</w:t>
            </w:r>
          </w:p>
          <w:p w:rsidR="00376DBC" w:rsidRPr="00336989" w:rsidRDefault="00376DBC" w:rsidP="003E0D7F">
            <w:pPr>
              <w:pStyle w:val="Text85pt"/>
            </w:pPr>
          </w:p>
          <w:p w:rsidR="00376DBC" w:rsidRDefault="00376DBC" w:rsidP="003E0D7F">
            <w:pPr>
              <w:pStyle w:val="Text85pt"/>
            </w:pPr>
            <w:r>
              <w:t>Hallerstrasse 5</w:t>
            </w:r>
          </w:p>
          <w:p w:rsidR="00376DBC" w:rsidRPr="00336989" w:rsidRDefault="00376DBC" w:rsidP="003E0D7F">
            <w:pPr>
              <w:pStyle w:val="Text85pt"/>
            </w:pPr>
            <w:r>
              <w:t>Postfach</w:t>
            </w:r>
          </w:p>
          <w:p w:rsidR="00376DBC" w:rsidRPr="00336989" w:rsidRDefault="00376DBC" w:rsidP="003E0D7F">
            <w:pPr>
              <w:pStyle w:val="Text85pt"/>
            </w:pPr>
            <w:r>
              <w:t>3001 Bern</w:t>
            </w:r>
          </w:p>
          <w:p w:rsidR="00376DBC" w:rsidRPr="00336989" w:rsidRDefault="00376DBC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376DBC" w:rsidRPr="00336989" w:rsidRDefault="00376DBC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376DBC" w:rsidRPr="00336989" w:rsidRDefault="00376DBC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376DBC" w:rsidRPr="00336989" w:rsidRDefault="00376DBC" w:rsidP="003E0D7F">
            <w:pPr>
              <w:pStyle w:val="Text85pt"/>
            </w:pPr>
          </w:p>
          <w:p w:rsidR="00376DBC" w:rsidRPr="00FC39CD" w:rsidRDefault="00376DBC" w:rsidP="008D57E8">
            <w:pPr>
              <w:pStyle w:val="Text85pt"/>
              <w:rPr>
                <w:sz w:val="18"/>
              </w:rPr>
            </w:pPr>
          </w:p>
        </w:tc>
      </w:tr>
      <w:tr w:rsidR="00376DBC" w:rsidRPr="00336989" w:rsidTr="00376DBC">
        <w:trPr>
          <w:trHeight w:val="1210"/>
        </w:trPr>
        <w:tc>
          <w:tcPr>
            <w:tcW w:w="5102" w:type="dxa"/>
            <w:vMerge/>
          </w:tcPr>
          <w:p w:rsidR="00376DBC" w:rsidRPr="00336989" w:rsidRDefault="00376DBC" w:rsidP="003E0D7F"/>
        </w:tc>
      </w:tr>
    </w:tbl>
    <w:p w:rsidR="00AA31B5" w:rsidRDefault="00AA31B5" w:rsidP="00AA31B5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1" w:color="auto"/>
        </w:pBdr>
        <w:shd w:val="clear" w:color="auto" w:fill="E6E6E6"/>
        <w:tabs>
          <w:tab w:val="right" w:pos="14175"/>
        </w:tabs>
        <w:ind w:left="993" w:hanging="851"/>
        <w:jc w:val="center"/>
        <w:outlineLvl w:val="0"/>
        <w:rPr>
          <w:rFonts w:ascii="Arial" w:hAnsi="Arial"/>
          <w:b/>
          <w:sz w:val="26"/>
          <w:lang w:val="de-DE"/>
        </w:rPr>
      </w:pPr>
      <w:r>
        <w:rPr>
          <w:rFonts w:ascii="Arial" w:hAnsi="Arial"/>
          <w:b/>
          <w:sz w:val="26"/>
          <w:lang w:val="de-DE"/>
        </w:rPr>
        <w:t>Leistung: Begleitete Übergabe bei der Wahrnehmung</w:t>
      </w:r>
      <w:r>
        <w:rPr>
          <w:rFonts w:ascii="Arial" w:hAnsi="Arial"/>
          <w:b/>
          <w:sz w:val="26"/>
          <w:lang w:val="de-DE"/>
        </w:rPr>
        <w:br/>
        <w:t>des Besuchsrechts</w:t>
      </w:r>
    </w:p>
    <w:p w:rsidR="00AA31B5" w:rsidRDefault="00AA31B5" w:rsidP="00AA31B5">
      <w:pPr>
        <w:tabs>
          <w:tab w:val="right" w:pos="14175"/>
        </w:tabs>
        <w:rPr>
          <w:rFonts w:ascii="Arial" w:hAnsi="Arial"/>
          <w:sz w:val="20"/>
          <w:lang w:val="de-D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Leistungskatalog: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jc w:val="center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 xml:space="preserve">Ambulante ergänzende Hilfen </w:t>
            </w:r>
          </w:p>
        </w:tc>
      </w:tr>
    </w:tbl>
    <w:p w:rsidR="00AA31B5" w:rsidRDefault="00AA31B5" w:rsidP="00AA31B5">
      <w:pPr>
        <w:tabs>
          <w:tab w:val="right" w:pos="14175"/>
        </w:tabs>
        <w:rPr>
          <w:rFonts w:ascii="Arial" w:hAnsi="Arial"/>
          <w:sz w:val="20"/>
          <w:lang w:val="de-DE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Leistungsgruppe: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jc w:val="center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 xml:space="preserve">Unterstützung bei der Wahrnehmung des Besuchsrechts </w:t>
            </w:r>
          </w:p>
        </w:tc>
      </w:tr>
    </w:tbl>
    <w:p w:rsidR="00AA31B5" w:rsidRDefault="001B67C4" w:rsidP="001B67C4">
      <w:pPr>
        <w:tabs>
          <w:tab w:val="left" w:pos="7833"/>
        </w:tabs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Umschreibung der Leistung:</w:t>
            </w:r>
          </w:p>
        </w:tc>
        <w:tc>
          <w:tcPr>
            <w:tcW w:w="6663" w:type="dxa"/>
          </w:tcPr>
          <w:p w:rsidR="00AA31B5" w:rsidRPr="005472E7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Das Kind wird bei der Übergabe zu </w:t>
            </w:r>
            <w:r w:rsidRPr="00DB35CB">
              <w:rPr>
                <w:rFonts w:ascii="Arial" w:hAnsi="Arial"/>
                <w:sz w:val="20"/>
                <w:lang w:val="de-DE"/>
              </w:rPr>
              <w:t xml:space="preserve">Beginn und </w:t>
            </w:r>
            <w:r>
              <w:rPr>
                <w:rFonts w:ascii="Arial" w:hAnsi="Arial"/>
                <w:sz w:val="20"/>
                <w:lang w:val="de-DE"/>
              </w:rPr>
              <w:t xml:space="preserve">am </w:t>
            </w:r>
            <w:r w:rsidRPr="00DB35CB">
              <w:rPr>
                <w:rFonts w:ascii="Arial" w:hAnsi="Arial"/>
                <w:sz w:val="20"/>
                <w:lang w:val="de-DE"/>
              </w:rPr>
              <w:t xml:space="preserve">Ende </w:t>
            </w:r>
            <w:r>
              <w:rPr>
                <w:rFonts w:ascii="Arial" w:hAnsi="Arial"/>
                <w:sz w:val="20"/>
                <w:lang w:val="de-DE"/>
              </w:rPr>
              <w:t>der vereinbarten Begegnungszeit mit dem</w:t>
            </w:r>
            <w:r w:rsidRPr="00DB35CB">
              <w:rPr>
                <w:rFonts w:ascii="Arial" w:hAnsi="Arial"/>
                <w:sz w:val="20"/>
                <w:lang w:val="de-DE"/>
              </w:rPr>
              <w:t>jenigen Elternte</w:t>
            </w:r>
            <w:r>
              <w:rPr>
                <w:rFonts w:ascii="Arial" w:hAnsi="Arial"/>
                <w:sz w:val="20"/>
                <w:lang w:val="de-DE"/>
              </w:rPr>
              <w:t>il, dem die elterliche Sorge oder</w:t>
            </w:r>
            <w:r>
              <w:t xml:space="preserve"> </w:t>
            </w:r>
            <w:r w:rsidRPr="005A1FCC">
              <w:rPr>
                <w:rFonts w:ascii="Arial" w:hAnsi="Arial"/>
                <w:sz w:val="20"/>
                <w:lang w:val="de-DE"/>
              </w:rPr>
              <w:t>die faktische</w:t>
            </w:r>
            <w:r>
              <w:rPr>
                <w:rFonts w:ascii="Arial" w:hAnsi="Arial"/>
                <w:sz w:val="20"/>
                <w:lang w:val="de-DE"/>
              </w:rPr>
              <w:t xml:space="preserve"> Obhut nicht zusteht, begleitet.</w:t>
            </w:r>
          </w:p>
        </w:tc>
      </w:tr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Übergeordnete Ziele:</w:t>
            </w:r>
          </w:p>
        </w:tc>
        <w:tc>
          <w:tcPr>
            <w:tcW w:w="6663" w:type="dxa"/>
          </w:tcPr>
          <w:p w:rsidR="00AA31B5" w:rsidRPr="000612A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Das Kind kann </w:t>
            </w:r>
            <w:r w:rsidRPr="003A4838">
              <w:rPr>
                <w:rFonts w:ascii="Arial" w:hAnsi="Arial"/>
                <w:sz w:val="20"/>
                <w:lang w:val="de-DE"/>
              </w:rPr>
              <w:t>den per</w:t>
            </w:r>
            <w:r>
              <w:rPr>
                <w:rFonts w:ascii="Arial" w:hAnsi="Arial"/>
                <w:sz w:val="20"/>
                <w:lang w:val="de-DE"/>
              </w:rPr>
              <w:t>sönlichen Kontakt und die Beziehung zum</w:t>
            </w:r>
            <w:r w:rsidRPr="003A4838">
              <w:rPr>
                <w:rFonts w:ascii="Arial" w:hAnsi="Arial"/>
                <w:sz w:val="20"/>
                <w:lang w:val="de-DE"/>
              </w:rPr>
              <w:t xml:space="preserve"> Elternteil</w:t>
            </w:r>
            <w:r>
              <w:rPr>
                <w:rFonts w:ascii="Arial" w:hAnsi="Arial"/>
                <w:sz w:val="20"/>
                <w:lang w:val="de-DE"/>
              </w:rPr>
              <w:t>,</w:t>
            </w:r>
            <w:r w:rsidRPr="003A4838">
              <w:rPr>
                <w:rFonts w:ascii="Arial" w:hAnsi="Arial"/>
                <w:sz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  <w:lang w:val="de-DE"/>
              </w:rPr>
              <w:t>dem die elterliche Sorge oder</w:t>
            </w:r>
            <w:r>
              <w:t xml:space="preserve"> </w:t>
            </w:r>
            <w:r w:rsidRPr="005A1FCC">
              <w:rPr>
                <w:rFonts w:ascii="Arial" w:hAnsi="Arial"/>
                <w:sz w:val="20"/>
                <w:lang w:val="de-DE"/>
              </w:rPr>
              <w:t>die faktische</w:t>
            </w:r>
            <w:r>
              <w:rPr>
                <w:rFonts w:ascii="Arial" w:hAnsi="Arial"/>
                <w:sz w:val="20"/>
                <w:lang w:val="de-DE"/>
              </w:rPr>
              <w:t xml:space="preserve"> Obhut nicht zusteht </w:t>
            </w:r>
            <w:r w:rsidRPr="003A4838">
              <w:rPr>
                <w:rFonts w:ascii="Arial" w:hAnsi="Arial"/>
                <w:sz w:val="20"/>
                <w:lang w:val="de-DE"/>
              </w:rPr>
              <w:t xml:space="preserve">trotz erschwerter Bedingungen </w:t>
            </w:r>
            <w:r>
              <w:rPr>
                <w:rFonts w:ascii="Arial" w:hAnsi="Arial"/>
                <w:sz w:val="20"/>
                <w:lang w:val="de-DE"/>
              </w:rPr>
              <w:t>pflegen und erlebt die</w:t>
            </w:r>
            <w:r w:rsidRPr="003A4838">
              <w:rPr>
                <w:rFonts w:ascii="Arial" w:hAnsi="Arial"/>
                <w:sz w:val="20"/>
                <w:lang w:val="de-DE"/>
              </w:rPr>
              <w:t xml:space="preserve"> kritisc</w:t>
            </w:r>
            <w:r>
              <w:rPr>
                <w:rFonts w:ascii="Arial" w:hAnsi="Arial"/>
                <w:sz w:val="20"/>
                <w:lang w:val="de-DE"/>
              </w:rPr>
              <w:t>hen Phasen des Übergangs vom Zusammensein</w:t>
            </w:r>
            <w:r w:rsidRPr="003A4838">
              <w:rPr>
                <w:rFonts w:ascii="Arial" w:hAnsi="Arial"/>
                <w:sz w:val="20"/>
                <w:lang w:val="de-DE"/>
              </w:rPr>
              <w:t xml:space="preserve"> mit einem Elternteil zum </w:t>
            </w:r>
            <w:r>
              <w:rPr>
                <w:rFonts w:ascii="Arial" w:hAnsi="Arial"/>
                <w:sz w:val="20"/>
                <w:lang w:val="de-DE"/>
              </w:rPr>
              <w:t>Zusammensein</w:t>
            </w:r>
            <w:r w:rsidRPr="003A4838">
              <w:rPr>
                <w:rFonts w:ascii="Arial" w:hAnsi="Arial"/>
                <w:sz w:val="20"/>
                <w:lang w:val="de-DE"/>
              </w:rPr>
              <w:t xml:space="preserve"> mit dem anderen Elternteil </w:t>
            </w:r>
            <w:r>
              <w:rPr>
                <w:rFonts w:ascii="Arial" w:hAnsi="Arial"/>
                <w:sz w:val="20"/>
                <w:lang w:val="de-DE"/>
              </w:rPr>
              <w:t>konfliktarm</w:t>
            </w:r>
            <w:r w:rsidRPr="003A4838">
              <w:rPr>
                <w:rFonts w:ascii="Arial" w:hAnsi="Arial"/>
                <w:sz w:val="20"/>
                <w:lang w:val="de-DE"/>
              </w:rPr>
              <w:t>.</w:t>
            </w:r>
          </w:p>
        </w:tc>
      </w:tr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Leistungsempfänger:</w:t>
            </w:r>
          </w:p>
        </w:tc>
        <w:tc>
          <w:tcPr>
            <w:tcW w:w="6663" w:type="dxa"/>
          </w:tcPr>
          <w:p w:rsidR="00AA31B5" w:rsidRPr="00495D45" w:rsidRDefault="00AA31B5" w:rsidP="00AA31B5">
            <w:pPr>
              <w:tabs>
                <w:tab w:val="right" w:pos="14175"/>
              </w:tabs>
              <w:spacing w:before="100" w:after="100"/>
              <w:rPr>
                <w:b/>
                <w:i/>
                <w:sz w:val="20"/>
              </w:rPr>
            </w:pPr>
            <w:r w:rsidRPr="00AA31B5">
              <w:rPr>
                <w:rFonts w:ascii="Arial" w:hAnsi="Arial"/>
                <w:sz w:val="20"/>
                <w:lang w:val="de-DE"/>
              </w:rPr>
              <w:t>Kinder, die nicht mit beiden  Elternteilen im selben Haushalt leben.</w:t>
            </w:r>
          </w:p>
        </w:tc>
      </w:tr>
    </w:tbl>
    <w:p w:rsidR="00AA31B5" w:rsidRDefault="00AA31B5" w:rsidP="00AA31B5">
      <w:pPr>
        <w:tabs>
          <w:tab w:val="right" w:pos="14175"/>
        </w:tabs>
        <w:rPr>
          <w:rFonts w:ascii="Arial" w:hAnsi="Arial"/>
          <w:sz w:val="20"/>
          <w:lang w:val="de-DE"/>
        </w:rPr>
      </w:pPr>
      <w:r w:rsidRPr="009C6330">
        <w:rPr>
          <w:rFonts w:ascii="Arial" w:hAnsi="Arial"/>
          <w:sz w:val="20"/>
          <w:lang w:val="de-DE"/>
        </w:rPr>
        <w:t>Die Leistungsziele sind verbindlich. Pro Leistungsziel können mehrere Indikatoren und Standards gesetzt werden.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AA31B5" w:rsidTr="00FB4BB7">
        <w:trPr>
          <w:cantSplit/>
        </w:trPr>
        <w:tc>
          <w:tcPr>
            <w:tcW w:w="2905" w:type="dxa"/>
            <w:shd w:val="clear" w:color="auto" w:fill="CCCCCC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5F69DC">
              <w:rPr>
                <w:rFonts w:ascii="Arial" w:hAnsi="Arial"/>
                <w:b/>
                <w:sz w:val="20"/>
                <w:lang w:val="de-DE"/>
              </w:rPr>
              <w:t>Leistungsziel 1</w:t>
            </w:r>
            <w:r>
              <w:rPr>
                <w:rFonts w:ascii="Arial" w:hAnsi="Arial"/>
                <w:b/>
                <w:sz w:val="20"/>
                <w:lang w:val="de-DE"/>
              </w:rPr>
              <w:t>:</w:t>
            </w:r>
          </w:p>
        </w:tc>
        <w:tc>
          <w:tcPr>
            <w:tcW w:w="6663" w:type="dxa"/>
            <w:shd w:val="clear" w:color="auto" w:fill="CCCCCC"/>
          </w:tcPr>
          <w:p w:rsidR="00AA31B5" w:rsidRPr="003A4838" w:rsidRDefault="00AA31B5" w:rsidP="00FB4BB7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Die Übergabe findet im vereinbarten oder angeordneten Rahmen statt.</w:t>
            </w:r>
          </w:p>
        </w:tc>
      </w:tr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Indikator 1 für Ziel 1:</w:t>
            </w:r>
          </w:p>
        </w:tc>
        <w:tc>
          <w:tcPr>
            <w:tcW w:w="6663" w:type="dxa"/>
          </w:tcPr>
          <w:p w:rsidR="00AA31B5" w:rsidRPr="009F6D23" w:rsidRDefault="00AA31B5" w:rsidP="00AA31B5">
            <w:pPr>
              <w:tabs>
                <w:tab w:val="right" w:pos="141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  <w:tr w:rsidR="00AA31B5" w:rsidRPr="00673267" w:rsidTr="00FB4BB7">
        <w:trPr>
          <w:cantSplit/>
        </w:trPr>
        <w:tc>
          <w:tcPr>
            <w:tcW w:w="2905" w:type="dxa"/>
          </w:tcPr>
          <w:p w:rsidR="00AA31B5" w:rsidRPr="00673267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673267">
              <w:rPr>
                <w:rFonts w:ascii="Arial" w:hAnsi="Arial"/>
                <w:b/>
                <w:sz w:val="20"/>
                <w:lang w:val="de-DE"/>
              </w:rPr>
              <w:t>Indikator 2 für Ziel 1: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  <w:tr w:rsidR="00AA31B5" w:rsidRPr="00673267" w:rsidTr="00FB4BB7">
        <w:trPr>
          <w:cantSplit/>
        </w:trPr>
        <w:tc>
          <w:tcPr>
            <w:tcW w:w="2905" w:type="dxa"/>
          </w:tcPr>
          <w:p w:rsidR="00AA31B5" w:rsidRPr="00673267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673267">
              <w:rPr>
                <w:rFonts w:ascii="Arial" w:hAnsi="Arial"/>
                <w:b/>
                <w:sz w:val="20"/>
                <w:lang w:val="de-DE"/>
              </w:rPr>
              <w:t>Standard für Indikator 2:</w:t>
            </w:r>
          </w:p>
        </w:tc>
        <w:tc>
          <w:tcPr>
            <w:tcW w:w="6663" w:type="dxa"/>
          </w:tcPr>
          <w:p w:rsidR="00AA31B5" w:rsidRPr="00AA31B5" w:rsidRDefault="00AA31B5" w:rsidP="00F9261C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  <w:tr w:rsidR="00AA31B5" w:rsidRPr="001E42CF" w:rsidTr="00FB4BB7">
        <w:trPr>
          <w:cantSplit/>
        </w:trPr>
        <w:tc>
          <w:tcPr>
            <w:tcW w:w="2905" w:type="dxa"/>
          </w:tcPr>
          <w:p w:rsidR="00AA31B5" w:rsidRPr="009F6D23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9F6D23">
              <w:rPr>
                <w:rFonts w:ascii="Arial" w:hAnsi="Arial"/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AA31B5" w:rsidRDefault="00AA31B5" w:rsidP="00AA31B5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AA31B5" w:rsidTr="00FB4BB7">
        <w:trPr>
          <w:cantSplit/>
        </w:trPr>
        <w:tc>
          <w:tcPr>
            <w:tcW w:w="2905" w:type="dxa"/>
            <w:shd w:val="clear" w:color="auto" w:fill="CCCCCC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Leistungsziel 2:</w:t>
            </w:r>
          </w:p>
        </w:tc>
        <w:tc>
          <w:tcPr>
            <w:tcW w:w="6663" w:type="dxa"/>
            <w:shd w:val="clear" w:color="auto" w:fill="CCCCCC"/>
          </w:tcPr>
          <w:p w:rsidR="00AA31B5" w:rsidRPr="003A4838" w:rsidRDefault="00AA31B5" w:rsidP="00FB4BB7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Das Kind erlebt die Übergaben klar, rücksichtsvoll und </w:t>
            </w:r>
            <w:r w:rsidRPr="0081633A">
              <w:rPr>
                <w:b w:val="0"/>
                <w:sz w:val="20"/>
              </w:rPr>
              <w:t>konflik</w:t>
            </w:r>
            <w:r>
              <w:rPr>
                <w:b w:val="0"/>
                <w:sz w:val="20"/>
              </w:rPr>
              <w:t>t</w:t>
            </w:r>
            <w:r w:rsidRPr="0081633A">
              <w:rPr>
                <w:b w:val="0"/>
                <w:sz w:val="20"/>
              </w:rPr>
              <w:t>frei</w:t>
            </w:r>
            <w:r>
              <w:rPr>
                <w:b w:val="0"/>
                <w:sz w:val="20"/>
              </w:rPr>
              <w:t>.</w:t>
            </w:r>
          </w:p>
        </w:tc>
      </w:tr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Indikator 1 für Ziel 2:</w:t>
            </w:r>
          </w:p>
        </w:tc>
        <w:tc>
          <w:tcPr>
            <w:tcW w:w="6663" w:type="dxa"/>
          </w:tcPr>
          <w:p w:rsidR="00AA31B5" w:rsidRPr="009F6D23" w:rsidRDefault="00AA31B5" w:rsidP="00AA31B5">
            <w:pPr>
              <w:tabs>
                <w:tab w:val="right" w:pos="14175"/>
              </w:tabs>
              <w:spacing w:before="100" w:after="100"/>
              <w:rPr>
                <w:b/>
                <w:sz w:val="20"/>
              </w:rPr>
            </w:pPr>
          </w:p>
        </w:tc>
      </w:tr>
      <w:tr w:rsidR="00AA31B5" w:rsidTr="00FB4BB7">
        <w:trPr>
          <w:cantSplit/>
        </w:trPr>
        <w:tc>
          <w:tcPr>
            <w:tcW w:w="2905" w:type="dxa"/>
          </w:tcPr>
          <w:p w:rsidR="00AA31B5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  <w:tr w:rsidR="00AA31B5" w:rsidRPr="00673267" w:rsidTr="00FB4BB7">
        <w:trPr>
          <w:cantSplit/>
        </w:trPr>
        <w:tc>
          <w:tcPr>
            <w:tcW w:w="2905" w:type="dxa"/>
          </w:tcPr>
          <w:p w:rsidR="00AA31B5" w:rsidRPr="00673267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673267">
              <w:rPr>
                <w:rFonts w:ascii="Arial" w:hAnsi="Arial"/>
                <w:b/>
                <w:sz w:val="20"/>
                <w:lang w:val="de-DE"/>
              </w:rPr>
              <w:t>Indikator 2 für Ziel 1: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  <w:tr w:rsidR="00AA31B5" w:rsidRPr="00673267" w:rsidTr="00FB4BB7">
        <w:trPr>
          <w:cantSplit/>
        </w:trPr>
        <w:tc>
          <w:tcPr>
            <w:tcW w:w="2905" w:type="dxa"/>
          </w:tcPr>
          <w:p w:rsidR="00AA31B5" w:rsidRPr="00673267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673267">
              <w:rPr>
                <w:rFonts w:ascii="Arial" w:hAnsi="Arial"/>
                <w:b/>
                <w:sz w:val="20"/>
                <w:lang w:val="de-DE"/>
              </w:rPr>
              <w:lastRenderedPageBreak/>
              <w:t>Standard für Indikator 2: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  <w:tr w:rsidR="00AA31B5" w:rsidRPr="001E42CF" w:rsidTr="00FB4BB7">
        <w:trPr>
          <w:cantSplit/>
        </w:trPr>
        <w:tc>
          <w:tcPr>
            <w:tcW w:w="2905" w:type="dxa"/>
          </w:tcPr>
          <w:p w:rsidR="00AA31B5" w:rsidRPr="009F6D23" w:rsidRDefault="00AA31B5" w:rsidP="00FB4BB7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b/>
                <w:sz w:val="20"/>
                <w:lang w:val="de-DE"/>
              </w:rPr>
            </w:pPr>
            <w:r w:rsidRPr="009F6D23">
              <w:rPr>
                <w:rFonts w:ascii="Arial" w:hAnsi="Arial"/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663" w:type="dxa"/>
          </w:tcPr>
          <w:p w:rsidR="00AA31B5" w:rsidRPr="00AA31B5" w:rsidRDefault="00AA31B5" w:rsidP="00AA31B5">
            <w:pPr>
              <w:tabs>
                <w:tab w:val="right" w:pos="14175"/>
              </w:tabs>
              <w:spacing w:before="100" w:after="100"/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AA31B5" w:rsidRDefault="00AA31B5" w:rsidP="00AA31B5"/>
    <w:p w:rsidR="00AA31B5" w:rsidRDefault="00AA31B5" w:rsidP="00AA31B5"/>
    <w:p w:rsidR="00AA31B5" w:rsidRPr="00A9624C" w:rsidRDefault="00AA31B5" w:rsidP="00AA31B5"/>
    <w:p w:rsidR="000E294A" w:rsidRPr="004163E5" w:rsidRDefault="000E294A" w:rsidP="00AA31B5">
      <w:pPr>
        <w:shd w:val="clear" w:color="auto" w:fill="FFFFFF" w:themeFill="background1"/>
        <w:tabs>
          <w:tab w:val="left" w:pos="535"/>
          <w:tab w:val="right" w:pos="14175"/>
        </w:tabs>
        <w:outlineLvl w:val="0"/>
        <w:rPr>
          <w:i/>
          <w:lang w:val="de-DE"/>
        </w:rPr>
      </w:pPr>
    </w:p>
    <w:sectPr w:rsidR="000E294A" w:rsidRPr="004163E5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C" w:rsidRDefault="00376DBC" w:rsidP="00F91D37">
      <w:pPr>
        <w:spacing w:line="240" w:lineRule="auto"/>
      </w:pPr>
      <w:r>
        <w:separator/>
      </w:r>
    </w:p>
  </w:endnote>
  <w:endnote w:type="continuationSeparator" w:id="0">
    <w:p w:rsidR="00376DBC" w:rsidRDefault="00376DB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C4" w:rsidRDefault="001B67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797FDE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A135E" w:rsidRPr="008A135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135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A135E" w:rsidRPr="008A135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135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797FDE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A135E" w:rsidRPr="008A135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A135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A135E" w:rsidRPr="008A135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A135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C" w:rsidRDefault="00376DBC" w:rsidP="00F91D37">
      <w:pPr>
        <w:spacing w:line="240" w:lineRule="auto"/>
      </w:pPr>
    </w:p>
    <w:p w:rsidR="00376DBC" w:rsidRDefault="00376DBC" w:rsidP="00F91D37">
      <w:pPr>
        <w:spacing w:line="240" w:lineRule="auto"/>
      </w:pPr>
    </w:p>
  </w:footnote>
  <w:footnote w:type="continuationSeparator" w:id="0">
    <w:p w:rsidR="00376DBC" w:rsidRDefault="00376DB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7C4" w:rsidRDefault="001B67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E93646" w:rsidRDefault="000E294A" w:rsidP="006F215C">
          <w:pPr>
            <w:pStyle w:val="Kopfzeile"/>
          </w:pPr>
          <w:r w:rsidRPr="000E294A">
            <w:rPr>
              <w:lang w:val="de-DE"/>
            </w:rPr>
            <w:t xml:space="preserve">Leistung: Begleitete </w:t>
          </w:r>
          <w:r w:rsidR="00AA31B5">
            <w:rPr>
              <w:lang w:val="de-DE"/>
            </w:rPr>
            <w:t>Übergabe bei der Wahr</w:t>
          </w:r>
          <w:r w:rsidR="006F215C">
            <w:rPr>
              <w:lang w:val="de-DE"/>
            </w:rPr>
            <w:t>nehmung</w:t>
          </w:r>
          <w:r w:rsidRPr="000E294A">
            <w:rPr>
              <w:lang w:val="de-DE"/>
            </w:rPr>
            <w:t xml:space="preserve"> des Besuchsrechts</w:t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8" w:hanging="864"/>
      </w:pPr>
    </w:lvl>
    <w:lvl w:ilvl="4">
      <w:start w:val="1"/>
      <w:numFmt w:val="decimal"/>
      <w:lvlText w:val="%1.%2.%3.%4.%5"/>
      <w:lvlJc w:val="left"/>
      <w:pPr>
        <w:ind w:left="1292" w:hanging="1008"/>
      </w:pPr>
    </w:lvl>
    <w:lvl w:ilvl="5">
      <w:start w:val="1"/>
      <w:numFmt w:val="decimal"/>
      <w:lvlText w:val="%1.%2.%3.%4.%5.%6"/>
      <w:lvlJc w:val="left"/>
      <w:pPr>
        <w:ind w:left="1436" w:hanging="1152"/>
      </w:pPr>
    </w:lvl>
    <w:lvl w:ilvl="6">
      <w:start w:val="1"/>
      <w:numFmt w:val="decimal"/>
      <w:lvlText w:val="%1.%2.%3.%4.%5.%6.%7"/>
      <w:lvlJc w:val="left"/>
      <w:pPr>
        <w:ind w:left="1580" w:hanging="1296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868" w:hanging="1584"/>
      </w:p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485B"/>
    <w:rsid w:val="00037643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4E8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29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67CDF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B67C4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3E81"/>
    <w:rsid w:val="002770BA"/>
    <w:rsid w:val="00290E37"/>
    <w:rsid w:val="0029375B"/>
    <w:rsid w:val="002945F1"/>
    <w:rsid w:val="00295DEC"/>
    <w:rsid w:val="002A01F5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1203"/>
    <w:rsid w:val="003722B9"/>
    <w:rsid w:val="003757E4"/>
    <w:rsid w:val="00375834"/>
    <w:rsid w:val="00375D0E"/>
    <w:rsid w:val="00376DBC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3A28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3E5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1FE5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0163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06DAC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3BC4"/>
    <w:rsid w:val="006854F3"/>
    <w:rsid w:val="00686D14"/>
    <w:rsid w:val="00687ED7"/>
    <w:rsid w:val="00693B4C"/>
    <w:rsid w:val="0069453E"/>
    <w:rsid w:val="006B3473"/>
    <w:rsid w:val="006B61C1"/>
    <w:rsid w:val="006B7E7D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215C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36434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0AAF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980"/>
    <w:rsid w:val="00883CC4"/>
    <w:rsid w:val="008849F4"/>
    <w:rsid w:val="00886881"/>
    <w:rsid w:val="0089690A"/>
    <w:rsid w:val="008A135E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37984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860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31B5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5A9A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2100"/>
    <w:rsid w:val="00B97F73"/>
    <w:rsid w:val="00BA0356"/>
    <w:rsid w:val="00BA4DDE"/>
    <w:rsid w:val="00BA68A9"/>
    <w:rsid w:val="00BA741D"/>
    <w:rsid w:val="00BB252B"/>
    <w:rsid w:val="00BB49D5"/>
    <w:rsid w:val="00BB6C6A"/>
    <w:rsid w:val="00BC3888"/>
    <w:rsid w:val="00BC3E90"/>
    <w:rsid w:val="00BC655F"/>
    <w:rsid w:val="00BD1CCF"/>
    <w:rsid w:val="00BD3717"/>
    <w:rsid w:val="00BD4A9C"/>
    <w:rsid w:val="00BE1E62"/>
    <w:rsid w:val="00BE4370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14B9"/>
    <w:rsid w:val="00C470F6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72E"/>
    <w:rsid w:val="00CB399B"/>
    <w:rsid w:val="00CB5986"/>
    <w:rsid w:val="00CC30D8"/>
    <w:rsid w:val="00CD159A"/>
    <w:rsid w:val="00CE0AE1"/>
    <w:rsid w:val="00CE0B88"/>
    <w:rsid w:val="00CF08BB"/>
    <w:rsid w:val="00CF4B38"/>
    <w:rsid w:val="00D030AD"/>
    <w:rsid w:val="00D05267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5F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3646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3916"/>
    <w:rsid w:val="00EC5068"/>
    <w:rsid w:val="00EC6A5B"/>
    <w:rsid w:val="00EC6EC9"/>
    <w:rsid w:val="00ED240B"/>
    <w:rsid w:val="00ED423C"/>
    <w:rsid w:val="00ED60E9"/>
    <w:rsid w:val="00EE0BC4"/>
    <w:rsid w:val="00EE6E36"/>
    <w:rsid w:val="00EF0A71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61C"/>
    <w:rsid w:val="00F92E65"/>
    <w:rsid w:val="00F9610D"/>
    <w:rsid w:val="00FA4A45"/>
    <w:rsid w:val="00FB239D"/>
    <w:rsid w:val="00FB4C89"/>
    <w:rsid w:val="00FB5828"/>
    <w:rsid w:val="00FB657F"/>
    <w:rsid w:val="00FB7DDF"/>
    <w:rsid w:val="00FC1964"/>
    <w:rsid w:val="00FC39CD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5:docId w15:val="{0FE21DD7-F491-48F7-9F8B-ECDB066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8760541-E7CF-417D-A26D-D5EF717D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Leistungsbeschreibung: Begleitete Übergabe bei der Wahrnehmung des Besuchsrechts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Begleitete Übergabe bei der Wahrnehmung des Besuchsrechts</dc:title>
  <dc:creator>KJA</dc:creator>
  <dc:description>Dokumentennummer</dc:description>
  <cp:lastModifiedBy>Scheurer Sonja, DIJ-KJA</cp:lastModifiedBy>
  <cp:revision>2</cp:revision>
  <cp:lastPrinted>2019-09-11T20:00:00Z</cp:lastPrinted>
  <dcterms:created xsi:type="dcterms:W3CDTF">2022-11-29T15:08:00Z</dcterms:created>
  <dcterms:modified xsi:type="dcterms:W3CDTF">2022-11-29T15:08:00Z</dcterms:modified>
</cp:coreProperties>
</file>