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336989" w:rsidTr="00DD5C42">
        <w:trPr>
          <w:trHeight w:val="215"/>
        </w:trPr>
        <w:tc>
          <w:tcPr>
            <w:tcW w:w="5102" w:type="dxa"/>
          </w:tcPr>
          <w:p w:rsidR="00C3438E" w:rsidRPr="00CF5975" w:rsidRDefault="00601B43" w:rsidP="00DD5C42">
            <w:pPr>
              <w:pStyle w:val="Text85pt"/>
              <w:rPr>
                <w:rFonts w:asciiTheme="minorHAnsi" w:hAnsiTheme="minorHAnsi"/>
              </w:rPr>
            </w:pPr>
            <w:r w:rsidRPr="00CF5975">
              <w:rPr>
                <w:rFonts w:asciiTheme="minorHAnsi" w:hAnsiTheme="minorHAnsi"/>
              </w:rPr>
              <w:t xml:space="preserve">Direktion </w:t>
            </w:r>
            <w:r w:rsidR="00817B83" w:rsidRPr="00CF5975">
              <w:rPr>
                <w:rFonts w:asciiTheme="minorHAnsi" w:hAnsiTheme="minorHAnsi"/>
              </w:rPr>
              <w:t>für Inneres</w:t>
            </w:r>
            <w:r w:rsidRPr="00CF5975">
              <w:rPr>
                <w:rFonts w:asciiTheme="minorHAnsi" w:hAnsiTheme="minorHAnsi"/>
              </w:rPr>
              <w:t xml:space="preserve"> und Justiz</w:t>
            </w:r>
          </w:p>
          <w:p w:rsidR="00C3438E" w:rsidRPr="00CF5975" w:rsidRDefault="00601B43" w:rsidP="00DD5C42">
            <w:pPr>
              <w:pStyle w:val="Text85pt"/>
              <w:rPr>
                <w:rFonts w:asciiTheme="minorHAnsi" w:hAnsiTheme="minorHAnsi"/>
              </w:rPr>
            </w:pPr>
            <w:r w:rsidRPr="00CF5975">
              <w:rPr>
                <w:rFonts w:asciiTheme="minorHAnsi" w:hAnsiTheme="minorHAnsi"/>
              </w:rPr>
              <w:t>Kantonales Jugendamt</w:t>
            </w:r>
          </w:p>
          <w:p w:rsidR="00C3438E" w:rsidRPr="00CF5975" w:rsidRDefault="00C3438E" w:rsidP="00DD5C42">
            <w:pPr>
              <w:pStyle w:val="Text85pt"/>
              <w:rPr>
                <w:rFonts w:asciiTheme="minorHAnsi" w:hAnsiTheme="minorHAnsi"/>
              </w:rPr>
            </w:pPr>
          </w:p>
          <w:p w:rsidR="00C3438E" w:rsidRPr="00CF5975" w:rsidRDefault="00601B43" w:rsidP="00FD2271">
            <w:pPr>
              <w:pStyle w:val="Text85pt"/>
              <w:rPr>
                <w:rFonts w:asciiTheme="minorHAnsi" w:hAnsiTheme="minorHAnsi"/>
              </w:rPr>
            </w:pPr>
            <w:r w:rsidRPr="00CF5975">
              <w:rPr>
                <w:rFonts w:asciiTheme="minorHAnsi" w:hAnsiTheme="minorHAnsi"/>
              </w:rPr>
              <w:t>Hallerstrasse 5</w:t>
            </w:r>
          </w:p>
          <w:p w:rsidR="00601B43" w:rsidRPr="00CF5975" w:rsidRDefault="00601B43" w:rsidP="00FD2271">
            <w:pPr>
              <w:pStyle w:val="Text85pt"/>
              <w:rPr>
                <w:rFonts w:asciiTheme="minorHAnsi" w:hAnsiTheme="minorHAnsi"/>
              </w:rPr>
            </w:pPr>
            <w:r w:rsidRPr="00CF5975">
              <w:rPr>
                <w:rFonts w:asciiTheme="minorHAnsi" w:hAnsiTheme="minorHAnsi"/>
              </w:rPr>
              <w:t>Postfach</w:t>
            </w:r>
          </w:p>
          <w:p w:rsidR="00C3438E" w:rsidRPr="00CF5975" w:rsidRDefault="00601B43" w:rsidP="00DD5C42">
            <w:pPr>
              <w:pStyle w:val="Text85pt"/>
              <w:rPr>
                <w:rFonts w:asciiTheme="minorHAnsi" w:hAnsiTheme="minorHAnsi"/>
              </w:rPr>
            </w:pPr>
            <w:r w:rsidRPr="00CF5975">
              <w:rPr>
                <w:rFonts w:asciiTheme="minorHAnsi" w:hAnsiTheme="minorHAnsi"/>
              </w:rPr>
              <w:t>3001</w:t>
            </w:r>
            <w:r w:rsidR="002C2DC3" w:rsidRPr="00CF5975">
              <w:rPr>
                <w:rFonts w:asciiTheme="minorHAnsi" w:hAnsiTheme="minorHAnsi"/>
              </w:rPr>
              <w:t xml:space="preserve"> </w:t>
            </w:r>
            <w:r w:rsidRPr="00CF5975">
              <w:rPr>
                <w:rFonts w:asciiTheme="minorHAnsi" w:hAnsiTheme="minorHAnsi"/>
              </w:rPr>
              <w:t>Bern</w:t>
            </w:r>
          </w:p>
          <w:p w:rsidR="00C3438E" w:rsidRPr="00CF5975" w:rsidRDefault="00C3438E" w:rsidP="00DD5C42">
            <w:pPr>
              <w:pStyle w:val="Text85pt"/>
              <w:rPr>
                <w:rFonts w:asciiTheme="minorHAnsi" w:hAnsiTheme="minorHAnsi"/>
              </w:rPr>
            </w:pPr>
            <w:r w:rsidRPr="00CF5975">
              <w:rPr>
                <w:rFonts w:asciiTheme="minorHAnsi" w:hAnsiTheme="minorHAnsi"/>
              </w:rPr>
              <w:t xml:space="preserve">+41 31 </w:t>
            </w:r>
            <w:r w:rsidR="00601B43" w:rsidRPr="00CF5975">
              <w:rPr>
                <w:rFonts w:asciiTheme="minorHAnsi" w:hAnsiTheme="minorHAnsi"/>
              </w:rPr>
              <w:t>633 76 33</w:t>
            </w:r>
          </w:p>
          <w:p w:rsidR="00C3438E" w:rsidRPr="00CF5975" w:rsidRDefault="00601B43" w:rsidP="00DD5C42">
            <w:pPr>
              <w:pStyle w:val="Text85pt"/>
              <w:rPr>
                <w:rFonts w:asciiTheme="minorHAnsi" w:hAnsiTheme="minorHAnsi"/>
              </w:rPr>
            </w:pPr>
            <w:r w:rsidRPr="00CF5975">
              <w:rPr>
                <w:rFonts w:asciiTheme="minorHAnsi" w:hAnsiTheme="minorHAnsi"/>
              </w:rPr>
              <w:t>kja-bern</w:t>
            </w:r>
            <w:r w:rsidR="00C3438E" w:rsidRPr="00CF5975">
              <w:rPr>
                <w:rFonts w:asciiTheme="minorHAnsi" w:hAnsiTheme="minorHAnsi"/>
              </w:rPr>
              <w:t>@be.ch</w:t>
            </w:r>
          </w:p>
          <w:p w:rsidR="00C3438E" w:rsidRDefault="00427C02" w:rsidP="00601B43">
            <w:pPr>
              <w:pStyle w:val="Text85pt"/>
              <w:rPr>
                <w:rStyle w:val="Hyperlink"/>
                <w:rFonts w:asciiTheme="minorHAnsi" w:hAnsiTheme="minorHAnsi"/>
                <w:u w:val="none"/>
              </w:rPr>
            </w:pPr>
            <w:hyperlink r:id="rId8" w:history="1">
              <w:r w:rsidR="00CF5975" w:rsidRPr="00CF5975">
                <w:rPr>
                  <w:rStyle w:val="Hyperlink"/>
                  <w:rFonts w:asciiTheme="minorHAnsi" w:hAnsiTheme="minorHAnsi"/>
                  <w:u w:val="none"/>
                </w:rPr>
                <w:t>www.be.ch/kja</w:t>
              </w:r>
            </w:hyperlink>
          </w:p>
          <w:p w:rsidR="00CF5975" w:rsidRPr="00CF5975" w:rsidRDefault="00CF5975" w:rsidP="009E5572">
            <w:pPr>
              <w:pStyle w:val="Text85pt"/>
              <w:rPr>
                <w:rFonts w:asciiTheme="minorHAnsi" w:hAnsiTheme="minorHAnsi"/>
              </w:rPr>
            </w:pPr>
          </w:p>
        </w:tc>
        <w:tc>
          <w:tcPr>
            <w:tcW w:w="4876" w:type="dxa"/>
          </w:tcPr>
          <w:p w:rsidR="00C3438E" w:rsidRPr="00336989" w:rsidRDefault="00C3438E" w:rsidP="00DD5C42">
            <w:pPr>
              <w:pStyle w:val="Text85pt"/>
            </w:pPr>
          </w:p>
        </w:tc>
      </w:tr>
    </w:tbl>
    <w:p w:rsidR="00C06CAB" w:rsidRPr="00C06CAB" w:rsidRDefault="00C06CAB" w:rsidP="00C06CA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60"/>
        <w:outlineLvl w:val="1"/>
        <w:rPr>
          <w:rFonts w:eastAsia="Arial" w:cs="Times New Roman"/>
          <w:b/>
          <w:bCs w:val="0"/>
          <w:spacing w:val="0"/>
          <w:sz w:val="26"/>
          <w:lang w:val="de-DE"/>
        </w:rPr>
      </w:pPr>
      <w:r w:rsidRPr="00C06CAB">
        <w:rPr>
          <w:rFonts w:eastAsia="Arial" w:cs="Times New Roman"/>
          <w:b/>
          <w:bCs w:val="0"/>
          <w:spacing w:val="0"/>
          <w:sz w:val="26"/>
          <w:lang w:val="de-DE"/>
        </w:rPr>
        <w:t>Leistung: Weiterbildung für Pflegeeltern</w:t>
      </w:r>
    </w:p>
    <w:p w:rsidR="00C06CAB" w:rsidRDefault="00C06CAB" w:rsidP="00C06CAB">
      <w:pPr>
        <w:rPr>
          <w:rFonts w:eastAsia="Arial" w:cs="Times New Roman"/>
          <w:b/>
          <w:i/>
          <w:lang w:val="de-DE"/>
        </w:rPr>
      </w:pPr>
    </w:p>
    <w:p w:rsidR="00C06CAB" w:rsidRPr="00ED7826" w:rsidRDefault="00C06CAB" w:rsidP="00C06CAB">
      <w:pPr>
        <w:jc w:val="both"/>
        <w:rPr>
          <w:rFonts w:eastAsia="Arial" w:cs="Times New Roman"/>
          <w:sz w:val="20"/>
          <w:szCs w:val="20"/>
          <w:lang w:val="de-DE"/>
        </w:rPr>
      </w:pPr>
      <w:r w:rsidRPr="00ED7826">
        <w:rPr>
          <w:rFonts w:eastAsia="Arial" w:cs="Times New Roman"/>
          <w:sz w:val="20"/>
          <w:szCs w:val="20"/>
          <w:lang w:val="de-DE"/>
        </w:rPr>
        <w:t xml:space="preserve">Der Begriff „Ausbildung“ </w:t>
      </w:r>
      <w:proofErr w:type="spellStart"/>
      <w:r w:rsidRPr="00ED7826">
        <w:rPr>
          <w:rFonts w:eastAsia="Arial" w:cs="Times New Roman"/>
          <w:sz w:val="20"/>
          <w:szCs w:val="20"/>
          <w:lang w:val="de-DE"/>
        </w:rPr>
        <w:t>gemäss</w:t>
      </w:r>
      <w:proofErr w:type="spellEnd"/>
      <w:r w:rsidRPr="00ED7826">
        <w:rPr>
          <w:rFonts w:eastAsia="Arial" w:cs="Times New Roman"/>
          <w:sz w:val="20"/>
          <w:szCs w:val="20"/>
          <w:lang w:val="de-DE"/>
        </w:rPr>
        <w:t xml:space="preserve"> PAVO ist nicht mit der Begrifflichkeit des Bildungsbereiches identisch,</w:t>
      </w:r>
      <w:r w:rsidRPr="000602B8">
        <w:rPr>
          <w:rFonts w:eastAsia="Arial" w:cs="Times New Roman"/>
          <w:i/>
          <w:sz w:val="20"/>
          <w:szCs w:val="20"/>
          <w:lang w:val="de-DE"/>
        </w:rPr>
        <w:t xml:space="preserve"> </w:t>
      </w:r>
      <w:r w:rsidRPr="00ED7826">
        <w:rPr>
          <w:rFonts w:eastAsia="Arial" w:cs="Times New Roman"/>
          <w:sz w:val="20"/>
          <w:szCs w:val="20"/>
          <w:lang w:val="de-DE"/>
        </w:rPr>
        <w:t xml:space="preserve">in dem eine Ausbildung in der Regel zur Ausübung einer beruflichen Tätigkeit führt. Ziel der „Ausbildung“ als Leistung DAF ist es, die Pflegefamilie auf die künftigen Aufgaben vorzubereiten und einzuführen. </w:t>
      </w:r>
    </w:p>
    <w:p w:rsidR="00C06CAB" w:rsidRDefault="00C06CAB" w:rsidP="00C06CAB">
      <w:pPr>
        <w:jc w:val="both"/>
        <w:rPr>
          <w:rFonts w:eastAsia="Arial" w:cs="Times New Roman"/>
          <w:sz w:val="20"/>
          <w:szCs w:val="20"/>
          <w:lang w:val="de-DE"/>
        </w:rPr>
      </w:pPr>
    </w:p>
    <w:p w:rsidR="00C06CAB" w:rsidRDefault="00C06CAB" w:rsidP="00C06CAB">
      <w:pPr>
        <w:jc w:val="both"/>
        <w:rPr>
          <w:rFonts w:eastAsia="Arial" w:cs="Times New Roman"/>
          <w:sz w:val="20"/>
          <w:szCs w:val="20"/>
          <w:lang w:val="de-DE"/>
        </w:rPr>
      </w:pPr>
      <w:r w:rsidRPr="00ED7826">
        <w:rPr>
          <w:rFonts w:eastAsia="Arial" w:cs="Times New Roman"/>
          <w:sz w:val="20"/>
          <w:szCs w:val="20"/>
          <w:lang w:val="de-DE"/>
        </w:rPr>
        <w:t xml:space="preserve">Die Weiterbildung wird im Sinne der PAVO als Dienstleistung in der Familienpflege aufgeführt. Sie steht allen Pflegeeltern und Pflegefamilien im Kanton Bern zur Verfügung, unabhängig davon, ob das Pflegeverhältnis durch eine DAF-Einrichtung vermittelt oder sozialpädagogisch begleitet ist. Die Pflegeeltern beurteilen ihren Bedarf und wählen unter kantonal anerkannten DAF das geeignete Angebot frei. Entsprechend ist eine Subjektfinanzierung der Pflegeeltern für die Weiterbildung vorgesehen. </w:t>
      </w:r>
    </w:p>
    <w:p w:rsidR="00C06CAB" w:rsidRPr="00ED7826" w:rsidRDefault="00C06CAB" w:rsidP="00C06CAB">
      <w:pPr>
        <w:jc w:val="both"/>
        <w:rPr>
          <w:rFonts w:eastAsia="Arial" w:cs="Times New Roman"/>
          <w:sz w:val="20"/>
          <w:szCs w:val="20"/>
          <w:lang w:val="de-DE"/>
        </w:rPr>
      </w:pP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C06CAB" w:rsidRPr="000602B8" w:rsidTr="001F5B4A">
        <w:trPr>
          <w:cantSplit/>
        </w:trPr>
        <w:tc>
          <w:tcPr>
            <w:tcW w:w="3331" w:type="dxa"/>
          </w:tcPr>
          <w:p w:rsidR="00C06CAB" w:rsidRPr="000602B8" w:rsidRDefault="00C06CAB" w:rsidP="001F5B4A">
            <w:pPr>
              <w:rPr>
                <w:rFonts w:eastAsia="Arial" w:cs="Times New Roman"/>
                <w:b/>
                <w:sz w:val="20"/>
                <w:szCs w:val="20"/>
                <w:lang w:val="de-DE"/>
              </w:rPr>
            </w:pPr>
            <w:r w:rsidRPr="000602B8">
              <w:rPr>
                <w:rFonts w:eastAsia="Arial" w:cs="Times New Roman"/>
                <w:b/>
                <w:sz w:val="20"/>
                <w:szCs w:val="20"/>
                <w:lang w:val="de-DE"/>
              </w:rPr>
              <w:t>Leistungskatalog:</w:t>
            </w:r>
          </w:p>
        </w:tc>
        <w:tc>
          <w:tcPr>
            <w:tcW w:w="6095" w:type="dxa"/>
            <w:tcBorders>
              <w:top w:val="single" w:sz="6" w:space="0" w:color="auto"/>
              <w:left w:val="single" w:sz="6" w:space="0" w:color="auto"/>
              <w:bottom w:val="single" w:sz="6" w:space="0" w:color="auto"/>
              <w:right w:val="single" w:sz="6" w:space="0" w:color="auto"/>
            </w:tcBorders>
          </w:tcPr>
          <w:p w:rsidR="00C06CAB" w:rsidRPr="000602B8" w:rsidRDefault="00C06CAB" w:rsidP="001F5B4A">
            <w:pPr>
              <w:rPr>
                <w:rFonts w:eastAsia="Arial" w:cs="Times New Roman"/>
                <w:b/>
                <w:sz w:val="20"/>
                <w:szCs w:val="20"/>
                <w:lang w:val="de-DE"/>
              </w:rPr>
            </w:pPr>
            <w:r>
              <w:rPr>
                <w:rFonts w:eastAsia="Arial" w:cs="Times New Roman"/>
                <w:b/>
                <w:sz w:val="20"/>
                <w:szCs w:val="20"/>
                <w:lang w:val="de-DE"/>
              </w:rPr>
              <w:t xml:space="preserve">Verbundene </w:t>
            </w:r>
            <w:r w:rsidRPr="000602B8">
              <w:rPr>
                <w:rFonts w:eastAsia="Arial" w:cs="Times New Roman"/>
                <w:b/>
                <w:sz w:val="20"/>
                <w:szCs w:val="20"/>
                <w:lang w:val="de-DE"/>
              </w:rPr>
              <w:t>ambulante ergänzende Hilfen zur Erziehung</w:t>
            </w:r>
          </w:p>
        </w:tc>
      </w:tr>
    </w:tbl>
    <w:p w:rsidR="00C06CAB" w:rsidRPr="000602B8" w:rsidRDefault="00C06CAB" w:rsidP="00C06CAB">
      <w:pPr>
        <w:rPr>
          <w:rFonts w:eastAsia="Arial" w:cs="Times New Roman"/>
          <w:sz w:val="20"/>
          <w:szCs w:val="20"/>
          <w:lang w:val="de-DE"/>
        </w:rPr>
      </w:pP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C06CAB" w:rsidRPr="000602B8" w:rsidTr="001F5B4A">
        <w:trPr>
          <w:cantSplit/>
        </w:trPr>
        <w:tc>
          <w:tcPr>
            <w:tcW w:w="3331" w:type="dxa"/>
          </w:tcPr>
          <w:p w:rsidR="00C06CAB" w:rsidRPr="000602B8" w:rsidRDefault="00C06CAB" w:rsidP="001F5B4A">
            <w:pPr>
              <w:rPr>
                <w:rFonts w:eastAsia="Arial" w:cs="Times New Roman"/>
                <w:b/>
                <w:sz w:val="20"/>
                <w:szCs w:val="20"/>
                <w:lang w:val="de-DE"/>
              </w:rPr>
            </w:pPr>
            <w:r w:rsidRPr="000602B8">
              <w:rPr>
                <w:rFonts w:eastAsia="Arial" w:cs="Times New Roman"/>
                <w:b/>
                <w:sz w:val="20"/>
                <w:szCs w:val="20"/>
                <w:lang w:val="de-DE"/>
              </w:rPr>
              <w:t>Leistungsgruppe:</w:t>
            </w:r>
          </w:p>
        </w:tc>
        <w:tc>
          <w:tcPr>
            <w:tcW w:w="6095" w:type="dxa"/>
            <w:tcBorders>
              <w:top w:val="single" w:sz="6" w:space="0" w:color="auto"/>
              <w:left w:val="single" w:sz="6" w:space="0" w:color="auto"/>
              <w:bottom w:val="single" w:sz="6" w:space="0" w:color="auto"/>
              <w:right w:val="single" w:sz="6" w:space="0" w:color="auto"/>
            </w:tcBorders>
          </w:tcPr>
          <w:p w:rsidR="00C06CAB" w:rsidRPr="000602B8" w:rsidRDefault="00C06CAB" w:rsidP="001F5B4A">
            <w:pPr>
              <w:rPr>
                <w:rFonts w:eastAsia="Arial" w:cs="Times New Roman"/>
                <w:b/>
                <w:sz w:val="20"/>
                <w:szCs w:val="20"/>
                <w:lang w:val="de-DE"/>
              </w:rPr>
            </w:pPr>
            <w:r w:rsidRPr="000602B8">
              <w:rPr>
                <w:rFonts w:eastAsia="Arial" w:cs="Times New Roman"/>
                <w:b/>
                <w:sz w:val="20"/>
                <w:szCs w:val="20"/>
                <w:lang w:val="de-DE"/>
              </w:rPr>
              <w:t>Dienstleitungsangebote in der Familienpflege</w:t>
            </w:r>
          </w:p>
        </w:tc>
      </w:tr>
    </w:tbl>
    <w:p w:rsidR="00C06CAB" w:rsidRPr="000602B8" w:rsidRDefault="00C06CAB" w:rsidP="00C06CAB">
      <w:pPr>
        <w:tabs>
          <w:tab w:val="right" w:pos="14175"/>
        </w:tabs>
        <w:rPr>
          <w:rFonts w:eastAsia="Times New Roman" w:cs="Times New Roman"/>
          <w:color w:val="000000"/>
          <w:sz w:val="20"/>
          <w:szCs w:val="20"/>
          <w:lang w:val="de-DE" w:eastAsia="de-DE"/>
        </w:rPr>
      </w:pP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C06CAB" w:rsidRPr="000602B8" w:rsidTr="001F5B4A">
        <w:trPr>
          <w:cantSplit/>
        </w:trPr>
        <w:tc>
          <w:tcPr>
            <w:tcW w:w="3331" w:type="dxa"/>
          </w:tcPr>
          <w:p w:rsidR="00C06CAB" w:rsidRPr="000602B8" w:rsidRDefault="00C06CAB" w:rsidP="009E5572">
            <w:pPr>
              <w:tabs>
                <w:tab w:val="right" w:pos="14175"/>
              </w:tabs>
              <w:spacing w:before="120" w:after="120"/>
              <w:rPr>
                <w:rFonts w:eastAsia="Times New Roman" w:cs="Times New Roman"/>
                <w:b/>
                <w:color w:val="000000"/>
                <w:sz w:val="20"/>
                <w:szCs w:val="20"/>
                <w:lang w:val="de-DE" w:eastAsia="de-DE"/>
              </w:rPr>
            </w:pPr>
            <w:r w:rsidRPr="000602B8">
              <w:rPr>
                <w:rFonts w:eastAsia="Times New Roman" w:cs="Times New Roman"/>
                <w:b/>
                <w:color w:val="000000"/>
                <w:sz w:val="20"/>
                <w:szCs w:val="20"/>
                <w:lang w:val="de-DE" w:eastAsia="de-DE"/>
              </w:rPr>
              <w:t>Umschreibung der Leistung:</w:t>
            </w:r>
          </w:p>
        </w:tc>
        <w:tc>
          <w:tcPr>
            <w:tcW w:w="6095" w:type="dxa"/>
          </w:tcPr>
          <w:p w:rsidR="00C06CAB" w:rsidRPr="00F243D2" w:rsidRDefault="00C06CAB" w:rsidP="009E5572">
            <w:pPr>
              <w:tabs>
                <w:tab w:val="right" w:pos="14175"/>
              </w:tabs>
              <w:spacing w:before="120" w:after="120"/>
              <w:rPr>
                <w:rFonts w:eastAsia="Times New Roman" w:cs="Times New Roman"/>
                <w:color w:val="000000"/>
                <w:sz w:val="20"/>
                <w:szCs w:val="20"/>
                <w:lang w:val="de-DE" w:eastAsia="de-DE"/>
              </w:rPr>
            </w:pPr>
            <w:r w:rsidRPr="000602B8">
              <w:rPr>
                <w:rFonts w:eastAsia="Times New Roman" w:cs="Times New Roman"/>
                <w:color w:val="000000"/>
                <w:sz w:val="20"/>
                <w:szCs w:val="20"/>
                <w:lang w:val="de-DE" w:eastAsia="de-DE"/>
              </w:rPr>
              <w:t>Pflegeeltern und Familien, die sich für die Aufgabe als Pflegefamilie vorbereiten wollen</w:t>
            </w:r>
            <w:r>
              <w:rPr>
                <w:rFonts w:eastAsia="Times New Roman" w:cs="Times New Roman"/>
                <w:color w:val="000000"/>
                <w:sz w:val="20"/>
                <w:szCs w:val="20"/>
                <w:lang w:val="de-DE" w:eastAsia="de-DE"/>
              </w:rPr>
              <w:t>,</w:t>
            </w:r>
            <w:r w:rsidRPr="000602B8">
              <w:rPr>
                <w:rFonts w:eastAsia="Times New Roman" w:cs="Times New Roman"/>
                <w:color w:val="000000"/>
                <w:sz w:val="20"/>
                <w:szCs w:val="20"/>
                <w:lang w:val="de-DE" w:eastAsia="de-DE"/>
              </w:rPr>
              <w:t xml:space="preserve"> erhalten Einführung und Weiterbildung zu spezifischen Fragen des Pflegekinderbereiches.</w:t>
            </w:r>
          </w:p>
        </w:tc>
      </w:tr>
      <w:tr w:rsidR="00C06CAB" w:rsidRPr="000602B8" w:rsidTr="001F5B4A">
        <w:trPr>
          <w:cantSplit/>
        </w:trPr>
        <w:tc>
          <w:tcPr>
            <w:tcW w:w="3331" w:type="dxa"/>
          </w:tcPr>
          <w:p w:rsidR="00C06CAB" w:rsidRPr="000602B8" w:rsidRDefault="00C06CAB" w:rsidP="009E5572">
            <w:pPr>
              <w:tabs>
                <w:tab w:val="right" w:pos="14175"/>
              </w:tabs>
              <w:spacing w:before="120" w:after="120"/>
              <w:rPr>
                <w:rFonts w:eastAsia="Times New Roman" w:cs="Times New Roman"/>
                <w:b/>
                <w:color w:val="000000"/>
                <w:sz w:val="20"/>
                <w:szCs w:val="20"/>
                <w:lang w:val="de-DE" w:eastAsia="de-DE"/>
              </w:rPr>
            </w:pPr>
            <w:r w:rsidRPr="000602B8">
              <w:rPr>
                <w:rFonts w:eastAsia="Times New Roman" w:cs="Times New Roman"/>
                <w:b/>
                <w:color w:val="000000"/>
                <w:sz w:val="20"/>
                <w:szCs w:val="20"/>
                <w:lang w:val="de-DE" w:eastAsia="de-DE"/>
              </w:rPr>
              <w:t>Übergeordnete Ziele:</w:t>
            </w:r>
          </w:p>
        </w:tc>
        <w:tc>
          <w:tcPr>
            <w:tcW w:w="6095" w:type="dxa"/>
          </w:tcPr>
          <w:p w:rsidR="00C06CAB" w:rsidRPr="000602B8" w:rsidRDefault="00C06CAB" w:rsidP="009E5572">
            <w:pPr>
              <w:tabs>
                <w:tab w:val="right" w:pos="14175"/>
              </w:tabs>
              <w:spacing w:before="120" w:after="120"/>
              <w:rPr>
                <w:rFonts w:eastAsia="Times New Roman" w:cs="Times New Roman"/>
                <w:color w:val="000000"/>
                <w:sz w:val="20"/>
                <w:szCs w:val="20"/>
                <w:lang w:val="de-DE" w:eastAsia="de-DE"/>
              </w:rPr>
            </w:pPr>
            <w:r w:rsidRPr="000602B8">
              <w:rPr>
                <w:rFonts w:eastAsia="Times New Roman" w:cs="Times New Roman"/>
                <w:color w:val="000000"/>
                <w:sz w:val="20"/>
                <w:szCs w:val="20"/>
                <w:lang w:val="de-DE" w:eastAsia="de-DE"/>
              </w:rPr>
              <w:t>Pflegeeltern sind auf ihre Aufgabe vorbereitet und können ihre Erziehungskompetenzen entwickeln.</w:t>
            </w:r>
          </w:p>
        </w:tc>
      </w:tr>
      <w:tr w:rsidR="00C06CAB" w:rsidRPr="000602B8" w:rsidTr="001F5B4A">
        <w:trPr>
          <w:cantSplit/>
        </w:trPr>
        <w:tc>
          <w:tcPr>
            <w:tcW w:w="3331" w:type="dxa"/>
          </w:tcPr>
          <w:p w:rsidR="00C06CAB" w:rsidRPr="000602B8" w:rsidRDefault="00C06CAB" w:rsidP="009E5572">
            <w:pPr>
              <w:tabs>
                <w:tab w:val="right" w:pos="14175"/>
              </w:tabs>
              <w:spacing w:before="120" w:after="120"/>
              <w:rPr>
                <w:rFonts w:eastAsia="Times New Roman" w:cs="Times New Roman"/>
                <w:b/>
                <w:color w:val="000000"/>
                <w:sz w:val="20"/>
                <w:szCs w:val="20"/>
                <w:lang w:val="de-DE" w:eastAsia="de-DE"/>
              </w:rPr>
            </w:pPr>
            <w:proofErr w:type="spellStart"/>
            <w:r w:rsidRPr="000602B8">
              <w:rPr>
                <w:rFonts w:eastAsia="Times New Roman" w:cs="Times New Roman"/>
                <w:b/>
                <w:color w:val="000000"/>
                <w:sz w:val="20"/>
                <w:szCs w:val="20"/>
                <w:lang w:val="de-DE" w:eastAsia="de-DE"/>
              </w:rPr>
              <w:t>Empfängerschaft</w:t>
            </w:r>
            <w:proofErr w:type="spellEnd"/>
            <w:r w:rsidRPr="000602B8">
              <w:rPr>
                <w:rFonts w:eastAsia="Times New Roman" w:cs="Times New Roman"/>
                <w:b/>
                <w:color w:val="000000"/>
                <w:sz w:val="20"/>
                <w:szCs w:val="20"/>
                <w:lang w:val="de-DE" w:eastAsia="de-DE"/>
              </w:rPr>
              <w:t xml:space="preserve"> der Leistung:</w:t>
            </w:r>
          </w:p>
        </w:tc>
        <w:tc>
          <w:tcPr>
            <w:tcW w:w="6095" w:type="dxa"/>
          </w:tcPr>
          <w:p w:rsidR="00C06CAB" w:rsidRDefault="00C06CAB" w:rsidP="009E5572">
            <w:pPr>
              <w:keepNext/>
              <w:tabs>
                <w:tab w:val="right" w:pos="14175"/>
              </w:tabs>
              <w:spacing w:before="120" w:after="120"/>
              <w:outlineLvl w:val="1"/>
              <w:rPr>
                <w:rFonts w:eastAsia="Times New Roman" w:cs="Times New Roman"/>
                <w:color w:val="000000"/>
                <w:sz w:val="20"/>
                <w:szCs w:val="20"/>
                <w:lang w:val="de-DE" w:eastAsia="de-DE"/>
              </w:rPr>
            </w:pPr>
            <w:r w:rsidRPr="000602B8">
              <w:rPr>
                <w:rFonts w:eastAsia="Times New Roman" w:cs="Times New Roman"/>
                <w:color w:val="000000"/>
                <w:sz w:val="20"/>
                <w:szCs w:val="20"/>
                <w:lang w:val="de-DE" w:eastAsia="de-DE"/>
              </w:rPr>
              <w:t>Pflegeeltern</w:t>
            </w:r>
            <w:bookmarkStart w:id="0" w:name="_GoBack"/>
            <w:bookmarkEnd w:id="0"/>
          </w:p>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3D4707" w:rsidRPr="000602B8" w:rsidTr="003E534C">
        <w:trPr>
          <w:cantSplit/>
        </w:trPr>
        <w:tc>
          <w:tcPr>
            <w:tcW w:w="9426" w:type="dxa"/>
            <w:gridSpan w:val="2"/>
          </w:tcPr>
          <w:p w:rsidR="003D4707" w:rsidRDefault="003D4707" w:rsidP="001F5B4A">
            <w:pPr>
              <w:keepNext/>
              <w:tabs>
                <w:tab w:val="right" w:pos="14175"/>
              </w:tabs>
              <w:outlineLvl w:val="1"/>
              <w:rPr>
                <w:rFonts w:eastAsia="Times New Roman" w:cs="Times New Roman"/>
                <w:color w:val="000000"/>
                <w:sz w:val="20"/>
                <w:szCs w:val="20"/>
                <w:lang w:val="de-DE" w:eastAsia="de-DE"/>
              </w:rPr>
            </w:pPr>
            <w:r w:rsidRPr="003D4707">
              <w:rPr>
                <w:rFonts w:eastAsia="Times New Roman" w:cs="Times New Roman"/>
                <w:color w:val="000000"/>
                <w:sz w:val="20"/>
                <w:szCs w:val="20"/>
                <w:lang w:val="de-DE" w:eastAsia="de-DE"/>
              </w:rPr>
              <w:t>Die Leistungsziele sind verbindlich. Pro Leistungsziel können mehrere Indikatoren und Standards gesetzt werden.</w:t>
            </w:r>
          </w:p>
          <w:p w:rsidR="009E5572" w:rsidRPr="000602B8" w:rsidRDefault="009E5572" w:rsidP="001F5B4A">
            <w:pPr>
              <w:keepNext/>
              <w:tabs>
                <w:tab w:val="right" w:pos="14175"/>
              </w:tabs>
              <w:outlineLvl w:val="1"/>
              <w:rPr>
                <w:rFonts w:eastAsia="Times New Roman" w:cs="Times New Roman"/>
                <w:color w:val="000000"/>
                <w:sz w:val="20"/>
                <w:szCs w:val="20"/>
                <w:lang w:val="de-DE" w:eastAsia="de-DE"/>
              </w:rPr>
            </w:pPr>
          </w:p>
        </w:tc>
      </w:tr>
      <w:tr w:rsidR="00C06CAB" w:rsidRPr="000602B8" w:rsidTr="001F5B4A">
        <w:trPr>
          <w:cantSplit/>
        </w:trPr>
        <w:tc>
          <w:tcPr>
            <w:tcW w:w="3331" w:type="dxa"/>
            <w:shd w:val="clear" w:color="auto" w:fill="CCCCCC"/>
          </w:tcPr>
          <w:p w:rsidR="00C06CAB" w:rsidRPr="000602B8" w:rsidRDefault="00C06CAB" w:rsidP="009E5572">
            <w:pPr>
              <w:tabs>
                <w:tab w:val="right" w:pos="14175"/>
              </w:tabs>
              <w:spacing w:before="120" w:after="120"/>
              <w:rPr>
                <w:rFonts w:eastAsia="Times New Roman" w:cs="Times New Roman"/>
                <w:b/>
                <w:color w:val="000000"/>
                <w:sz w:val="20"/>
                <w:szCs w:val="20"/>
                <w:lang w:val="de-DE" w:eastAsia="de-DE"/>
              </w:rPr>
            </w:pPr>
            <w:r w:rsidRPr="009D567C">
              <w:rPr>
                <w:rFonts w:eastAsia="Times New Roman" w:cs="Times New Roman"/>
                <w:b/>
                <w:color w:val="000000"/>
                <w:sz w:val="20"/>
                <w:szCs w:val="20"/>
                <w:lang w:val="de-DE" w:eastAsia="de-DE"/>
              </w:rPr>
              <w:t xml:space="preserve">Leistungsziel </w:t>
            </w:r>
            <w:r w:rsidRPr="000602B8">
              <w:rPr>
                <w:rFonts w:eastAsia="Times New Roman" w:cs="Times New Roman"/>
                <w:b/>
                <w:color w:val="000000"/>
                <w:sz w:val="20"/>
                <w:szCs w:val="20"/>
                <w:lang w:val="de-DE" w:eastAsia="de-DE"/>
              </w:rPr>
              <w:t>1:</w:t>
            </w:r>
          </w:p>
        </w:tc>
        <w:tc>
          <w:tcPr>
            <w:tcW w:w="6095" w:type="dxa"/>
            <w:shd w:val="clear" w:color="auto" w:fill="CCCCCC"/>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r w:rsidRPr="000602B8">
              <w:rPr>
                <w:rFonts w:eastAsia="Times New Roman" w:cs="Times New Roman"/>
                <w:color w:val="000000"/>
                <w:sz w:val="20"/>
                <w:szCs w:val="20"/>
                <w:lang w:val="de-DE" w:eastAsia="de-DE"/>
              </w:rPr>
              <w:t>Pflegeeltern sind auf ihre Aufgabe vorbereitet</w:t>
            </w:r>
            <w:r>
              <w:rPr>
                <w:rFonts w:eastAsia="Times New Roman" w:cs="Times New Roman"/>
                <w:color w:val="000000"/>
                <w:sz w:val="20"/>
                <w:szCs w:val="20"/>
                <w:lang w:val="de-DE" w:eastAsia="de-DE"/>
              </w:rPr>
              <w:t>.</w:t>
            </w: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Indikator 1 für Ziel 1:</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Standard 1 für Indikator 1:</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Indikator 2 für Ziel 1:</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Standard 2 für Indikator 1:</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Methodik und Hilfsmittel</w:t>
            </w:r>
          </w:p>
        </w:tc>
        <w:tc>
          <w:tcPr>
            <w:tcW w:w="6095" w:type="dxa"/>
          </w:tcPr>
          <w:p w:rsidR="00C06CAB" w:rsidRPr="000602B8" w:rsidRDefault="00C06CAB" w:rsidP="00B45374">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shd w:val="clear" w:color="auto" w:fill="CCCCCC"/>
          </w:tcPr>
          <w:p w:rsidR="00C06CAB" w:rsidRPr="000602B8" w:rsidRDefault="00C06CAB" w:rsidP="009E5572">
            <w:pPr>
              <w:tabs>
                <w:tab w:val="right" w:pos="14175"/>
              </w:tabs>
              <w:spacing w:before="120" w:after="120"/>
              <w:rPr>
                <w:rFonts w:eastAsia="Times New Roman" w:cs="Times New Roman"/>
                <w:b/>
                <w:color w:val="000000"/>
                <w:sz w:val="20"/>
                <w:szCs w:val="20"/>
                <w:lang w:val="de-DE" w:eastAsia="de-DE"/>
              </w:rPr>
            </w:pPr>
            <w:r w:rsidRPr="009D567C">
              <w:rPr>
                <w:rFonts w:eastAsia="Times New Roman" w:cs="Times New Roman"/>
                <w:b/>
                <w:color w:val="000000"/>
                <w:sz w:val="20"/>
                <w:szCs w:val="20"/>
                <w:lang w:val="de-DE" w:eastAsia="de-DE"/>
              </w:rPr>
              <w:t xml:space="preserve">Leistungsziel </w:t>
            </w:r>
            <w:r w:rsidRPr="000602B8">
              <w:rPr>
                <w:rFonts w:eastAsia="Times New Roman" w:cs="Times New Roman"/>
                <w:b/>
                <w:color w:val="000000"/>
                <w:sz w:val="20"/>
                <w:szCs w:val="20"/>
                <w:lang w:val="de-DE" w:eastAsia="de-DE"/>
              </w:rPr>
              <w:t>2:</w:t>
            </w:r>
          </w:p>
        </w:tc>
        <w:tc>
          <w:tcPr>
            <w:tcW w:w="6095" w:type="dxa"/>
            <w:shd w:val="clear" w:color="auto" w:fill="CCCCCC"/>
          </w:tcPr>
          <w:p w:rsidR="00C06CAB" w:rsidRPr="000602B8" w:rsidRDefault="00C06CAB" w:rsidP="009E5572">
            <w:pPr>
              <w:tabs>
                <w:tab w:val="right" w:pos="14175"/>
              </w:tabs>
              <w:spacing w:before="120" w:after="120"/>
              <w:rPr>
                <w:rFonts w:eastAsia="Times New Roman" w:cs="Times New Roman"/>
                <w:color w:val="000000"/>
                <w:sz w:val="20"/>
                <w:szCs w:val="20"/>
                <w:lang w:val="de-DE" w:eastAsia="de-DE"/>
              </w:rPr>
            </w:pPr>
            <w:r w:rsidRPr="000602B8">
              <w:rPr>
                <w:rFonts w:eastAsia="Times New Roman" w:cs="Times New Roman"/>
                <w:color w:val="000000"/>
                <w:sz w:val="20"/>
                <w:szCs w:val="20"/>
                <w:lang w:val="de-DE" w:eastAsia="de-DE"/>
              </w:rPr>
              <w:t xml:space="preserve">Pflegeeltern können ihre Erziehungskompetenzen in unterschiedlichen Themen </w:t>
            </w:r>
            <w:r>
              <w:rPr>
                <w:rFonts w:eastAsia="Times New Roman" w:cs="Times New Roman"/>
                <w:color w:val="000000"/>
                <w:sz w:val="20"/>
                <w:szCs w:val="20"/>
                <w:lang w:val="de-DE" w:eastAsia="de-DE"/>
              </w:rPr>
              <w:t xml:space="preserve">und im Erfahrungsaustausch </w:t>
            </w:r>
            <w:r w:rsidRPr="000602B8">
              <w:rPr>
                <w:rFonts w:eastAsia="Times New Roman" w:cs="Times New Roman"/>
                <w:color w:val="000000"/>
                <w:sz w:val="20"/>
                <w:szCs w:val="20"/>
                <w:lang w:val="de-DE" w:eastAsia="de-DE"/>
              </w:rPr>
              <w:t>entwickeln.</w:t>
            </w: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lastRenderedPageBreak/>
              <w:t>Indikator 1 für Ziel 2:</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Standard für Indikator 1:</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Indikator 2 für Ziel 2:</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Standard für Indikator 1:</w:t>
            </w:r>
          </w:p>
        </w:tc>
        <w:tc>
          <w:tcPr>
            <w:tcW w:w="6095" w:type="dxa"/>
          </w:tcPr>
          <w:p w:rsidR="00C06CAB" w:rsidRPr="000602B8" w:rsidRDefault="00C06CAB" w:rsidP="009E5572">
            <w:pPr>
              <w:keepNext/>
              <w:tabs>
                <w:tab w:val="right" w:pos="14175"/>
              </w:tabs>
              <w:spacing w:before="120" w:after="120"/>
              <w:outlineLvl w:val="1"/>
              <w:rPr>
                <w:rFonts w:eastAsia="Times New Roman" w:cs="Times New Roman"/>
                <w:color w:val="000000"/>
                <w:sz w:val="20"/>
                <w:szCs w:val="20"/>
                <w:lang w:val="de-DE" w:eastAsia="de-DE"/>
              </w:rPr>
            </w:pPr>
          </w:p>
        </w:tc>
      </w:tr>
      <w:tr w:rsidR="00C06CAB" w:rsidRPr="000602B8" w:rsidTr="001F5B4A">
        <w:trPr>
          <w:cantSplit/>
        </w:trPr>
        <w:tc>
          <w:tcPr>
            <w:tcW w:w="3331" w:type="dxa"/>
          </w:tcPr>
          <w:p w:rsidR="00C06CAB" w:rsidRPr="009E5572" w:rsidRDefault="00C06CAB" w:rsidP="009E5572">
            <w:pPr>
              <w:tabs>
                <w:tab w:val="right" w:pos="14175"/>
              </w:tabs>
              <w:spacing w:before="120" w:after="120"/>
              <w:rPr>
                <w:rFonts w:eastAsia="Times New Roman" w:cs="Times New Roman"/>
                <w:b/>
                <w:color w:val="000000"/>
                <w:sz w:val="20"/>
                <w:szCs w:val="20"/>
                <w:lang w:val="de-DE" w:eastAsia="de-DE"/>
              </w:rPr>
            </w:pPr>
            <w:r w:rsidRPr="009E5572">
              <w:rPr>
                <w:rFonts w:eastAsia="Times New Roman" w:cs="Times New Roman"/>
                <w:b/>
                <w:color w:val="000000"/>
                <w:sz w:val="20"/>
                <w:szCs w:val="20"/>
                <w:lang w:val="de-DE" w:eastAsia="de-DE"/>
              </w:rPr>
              <w:t>Methodik und Hilfsmittel</w:t>
            </w:r>
          </w:p>
        </w:tc>
        <w:tc>
          <w:tcPr>
            <w:tcW w:w="6095" w:type="dxa"/>
          </w:tcPr>
          <w:p w:rsidR="00C06CAB" w:rsidRPr="000602B8" w:rsidRDefault="00C06CAB" w:rsidP="009E5572">
            <w:pPr>
              <w:spacing w:before="120" w:after="120"/>
              <w:rPr>
                <w:rFonts w:eastAsia="Times New Roman" w:cs="Times New Roman"/>
                <w:i/>
                <w:color w:val="000000"/>
                <w:sz w:val="20"/>
                <w:szCs w:val="20"/>
                <w:lang w:eastAsia="de-DE"/>
              </w:rPr>
            </w:pPr>
          </w:p>
        </w:tc>
      </w:tr>
    </w:tbl>
    <w:p w:rsidR="00C06CAB" w:rsidRDefault="00C06CAB" w:rsidP="00C06CAB">
      <w:pPr>
        <w:rPr>
          <w:rFonts w:eastAsia="Times New Roman" w:cs="Times New Roman"/>
          <w:b/>
          <w:bCs w:val="0"/>
          <w:sz w:val="24"/>
          <w:szCs w:val="26"/>
          <w:lang w:val="de-DE"/>
        </w:rPr>
      </w:pPr>
    </w:p>
    <w:sectPr w:rsidR="00C06CAB"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75" w:rsidRDefault="00CF5975" w:rsidP="00F91D37">
      <w:pPr>
        <w:spacing w:line="240" w:lineRule="auto"/>
      </w:pPr>
      <w:r>
        <w:separator/>
      </w:r>
    </w:p>
  </w:endnote>
  <w:endnote w:type="continuationSeparator" w:id="0">
    <w:p w:rsidR="00CF5975" w:rsidRDefault="00CF597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4C7683" w:rsidP="00632704">
    <w:pPr>
      <w:pStyle w:val="Fuzeile"/>
    </w:pPr>
    <w:r>
      <w:rPr>
        <w:rFonts w:asciiTheme="minorHAnsi" w:hAnsiTheme="minorHAnsi"/>
        <w:vanish/>
      </w:rPr>
      <w:fldChar w:fldCharType="begin"/>
    </w:r>
    <w:r>
      <w:rPr>
        <w:vanish/>
      </w:rPr>
      <w:instrText xml:space="preserve"> REF  Klassifizierung </w:instrText>
    </w:r>
    <w:r>
      <w:rPr>
        <w:rFonts w:asciiTheme="minorHAnsi" w:hAnsiTheme="minorHAnsi"/>
        <w:vanish/>
      </w:rPr>
      <w:fldChar w:fldCharType="separate"/>
    </w:r>
    <w:r w:rsidR="00734799">
      <w:rPr>
        <w:rFonts w:asciiTheme="minorHAnsi" w:hAnsiTheme="minorHAnsi"/>
        <w:b/>
        <w:bCs w:val="0"/>
        <w:vanish/>
        <w:lang w:val="de-DE"/>
      </w:rPr>
      <w:t>Fehler! Verweisquelle konnte nicht gefunden werden.</w:t>
    </w:r>
    <w:r>
      <w:rPr>
        <w:rFonts w:asciiTheme="minorHAnsi" w:hAnsiTheme="minorHAnsi"/>
        <w:vanish/>
      </w:rPr>
      <w:fldChar w:fldCharType="end"/>
    </w:r>
    <w:r w:rsidR="00797FDE">
      <w:rPr>
        <w:noProof/>
        <w:lang w:eastAsia="de-CH"/>
      </w:rPr>
      <mc:AlternateContent>
        <mc:Choice Requires="wps">
          <w:drawing>
            <wp:anchor distT="0" distB="0" distL="114300" distR="114300" simplePos="0" relativeHeight="251657728"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27C02" w:rsidRPr="00427C0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7C02">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27C02" w:rsidRPr="00427C0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7C02">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5D7C08" w:rsidRDefault="00797FDE" w:rsidP="005D7C08">
    <w:pPr>
      <w:tabs>
        <w:tab w:val="left" w:pos="2552"/>
        <w:tab w:val="left" w:pos="5103"/>
        <w:tab w:val="left" w:pos="7655"/>
        <w:tab w:val="right" w:pos="9979"/>
      </w:tabs>
      <w:spacing w:line="240" w:lineRule="auto"/>
      <w:rPr>
        <w:rFonts w:eastAsia="Arial"/>
        <w:sz w:val="13"/>
        <w:szCs w:val="13"/>
      </w:rPr>
    </w:pPr>
    <w:r>
      <w:rPr>
        <w:noProof/>
        <w:lang w:eastAsia="de-CH"/>
      </w:rPr>
      <mc:AlternateContent>
        <mc:Choice Requires="wps">
          <w:drawing>
            <wp:anchor distT="0" distB="0" distL="114300" distR="114300" simplePos="0" relativeHeight="251655680"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27C02" w:rsidRPr="00427C0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7C02">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5568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27C02" w:rsidRPr="00427C0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7C02">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75" w:rsidRDefault="00CF5975" w:rsidP="00F91D37">
      <w:pPr>
        <w:spacing w:line="240" w:lineRule="auto"/>
      </w:pPr>
    </w:p>
    <w:p w:rsidR="00CF5975" w:rsidRDefault="00CF5975" w:rsidP="00F91D37">
      <w:pPr>
        <w:spacing w:line="240" w:lineRule="auto"/>
      </w:pPr>
    </w:p>
  </w:footnote>
  <w:footnote w:type="continuationSeparator" w:id="0">
    <w:p w:rsidR="00CF5975" w:rsidRDefault="00CF597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9E5572" w:rsidRPr="00832D99" w:rsidTr="00585B39">
      <w:tc>
        <w:tcPr>
          <w:tcW w:w="5100" w:type="dxa"/>
        </w:tcPr>
        <w:p w:rsidR="009E5572" w:rsidRPr="00832D99" w:rsidRDefault="009E5572" w:rsidP="009E5572">
          <w:pPr>
            <w:pStyle w:val="Kopfzeile"/>
          </w:pPr>
          <w:r w:rsidRPr="00B0249E">
            <w:drawing>
              <wp:anchor distT="0" distB="0" distL="114300" distR="114300" simplePos="0" relativeHeight="251658752" behindDoc="0" locked="1" layoutInCell="1" allowOverlap="1" wp14:anchorId="403A03B5" wp14:editId="0CAD0BF3">
                <wp:simplePos x="0" y="0"/>
                <wp:positionH relativeFrom="page">
                  <wp:posOffset>0</wp:posOffset>
                </wp:positionH>
                <wp:positionV relativeFrom="page">
                  <wp:posOffset>0</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tc>
      <w:tc>
        <w:tcPr>
          <w:tcW w:w="4878" w:type="dxa"/>
        </w:tcPr>
        <w:p w:rsidR="009E5572" w:rsidRPr="00832D99" w:rsidRDefault="009E5572" w:rsidP="00427C02">
          <w:pPr>
            <w:pStyle w:val="Kopfzeile"/>
          </w:pPr>
          <w:r>
            <w:t xml:space="preserve">Leistung: </w:t>
          </w:r>
          <w:r w:rsidRPr="00FC6286">
            <w:rPr>
              <w:lang w:val="de-DE"/>
            </w:rPr>
            <w:t>Weiterbildung für Pflegeeltern</w:t>
          </w:r>
        </w:p>
      </w:tc>
    </w:tr>
  </w:tbl>
  <w:p w:rsidR="00797FDE" w:rsidRPr="0039616D" w:rsidRDefault="00797FDE"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56704"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CF597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550"/>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1E5C"/>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8491A"/>
    <w:rsid w:val="0039090B"/>
    <w:rsid w:val="00396082"/>
    <w:rsid w:val="0039616D"/>
    <w:rsid w:val="00396A4E"/>
    <w:rsid w:val="003A396E"/>
    <w:rsid w:val="003B02F8"/>
    <w:rsid w:val="003B2CBD"/>
    <w:rsid w:val="003B4BF5"/>
    <w:rsid w:val="003D0FAA"/>
    <w:rsid w:val="003D1066"/>
    <w:rsid w:val="003D4707"/>
    <w:rsid w:val="003D4FCF"/>
    <w:rsid w:val="003E0D7F"/>
    <w:rsid w:val="003F1A56"/>
    <w:rsid w:val="003F70F2"/>
    <w:rsid w:val="003F711B"/>
    <w:rsid w:val="004007B2"/>
    <w:rsid w:val="0040593D"/>
    <w:rsid w:val="00410AF1"/>
    <w:rsid w:val="004165DE"/>
    <w:rsid w:val="004212A5"/>
    <w:rsid w:val="00421DB9"/>
    <w:rsid w:val="00427C02"/>
    <w:rsid w:val="00427E73"/>
    <w:rsid w:val="004378C7"/>
    <w:rsid w:val="0044096D"/>
    <w:rsid w:val="004519B6"/>
    <w:rsid w:val="00452D49"/>
    <w:rsid w:val="00452E96"/>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C7683"/>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979C3"/>
    <w:rsid w:val="005A7EB9"/>
    <w:rsid w:val="005B4DEC"/>
    <w:rsid w:val="005B5CD0"/>
    <w:rsid w:val="005B6FD0"/>
    <w:rsid w:val="005C6148"/>
    <w:rsid w:val="005D05F7"/>
    <w:rsid w:val="005D161E"/>
    <w:rsid w:val="005D4FBB"/>
    <w:rsid w:val="005D682F"/>
    <w:rsid w:val="005D7C08"/>
    <w:rsid w:val="005E3592"/>
    <w:rsid w:val="005E46D2"/>
    <w:rsid w:val="005E74A9"/>
    <w:rsid w:val="005F60CA"/>
    <w:rsid w:val="005F64F0"/>
    <w:rsid w:val="00601B43"/>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4799"/>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B3B38"/>
    <w:rsid w:val="007C0B2A"/>
    <w:rsid w:val="007D06C7"/>
    <w:rsid w:val="007D6F53"/>
    <w:rsid w:val="007E0460"/>
    <w:rsid w:val="007E3459"/>
    <w:rsid w:val="007F0876"/>
    <w:rsid w:val="007F34B1"/>
    <w:rsid w:val="007F6C97"/>
    <w:rsid w:val="00801778"/>
    <w:rsid w:val="00807940"/>
    <w:rsid w:val="00810972"/>
    <w:rsid w:val="00814BE6"/>
    <w:rsid w:val="00817B83"/>
    <w:rsid w:val="00824CE1"/>
    <w:rsid w:val="00832D99"/>
    <w:rsid w:val="00833373"/>
    <w:rsid w:val="00834F3F"/>
    <w:rsid w:val="00835B0B"/>
    <w:rsid w:val="00840F59"/>
    <w:rsid w:val="00841B44"/>
    <w:rsid w:val="00842A22"/>
    <w:rsid w:val="00843302"/>
    <w:rsid w:val="00843E1D"/>
    <w:rsid w:val="008441CC"/>
    <w:rsid w:val="00844DF7"/>
    <w:rsid w:val="008458C8"/>
    <w:rsid w:val="0084639C"/>
    <w:rsid w:val="00853B4E"/>
    <w:rsid w:val="008577F6"/>
    <w:rsid w:val="00857D8A"/>
    <w:rsid w:val="00863501"/>
    <w:rsid w:val="00865145"/>
    <w:rsid w:val="00865D15"/>
    <w:rsid w:val="00870017"/>
    <w:rsid w:val="0087726A"/>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1CC0"/>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2353"/>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572"/>
    <w:rsid w:val="009E5BCA"/>
    <w:rsid w:val="009F1B31"/>
    <w:rsid w:val="009F6AD9"/>
    <w:rsid w:val="00A02DA9"/>
    <w:rsid w:val="00A037AB"/>
    <w:rsid w:val="00A04CC5"/>
    <w:rsid w:val="00A0670A"/>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45374"/>
    <w:rsid w:val="00B56332"/>
    <w:rsid w:val="00B70D03"/>
    <w:rsid w:val="00B71F06"/>
    <w:rsid w:val="00B803E7"/>
    <w:rsid w:val="00B82098"/>
    <w:rsid w:val="00B82E14"/>
    <w:rsid w:val="00B97F73"/>
    <w:rsid w:val="00BA0356"/>
    <w:rsid w:val="00BA04F1"/>
    <w:rsid w:val="00BA4DDE"/>
    <w:rsid w:val="00BA68A9"/>
    <w:rsid w:val="00BA741D"/>
    <w:rsid w:val="00BB49D5"/>
    <w:rsid w:val="00BB6C6A"/>
    <w:rsid w:val="00BC3E90"/>
    <w:rsid w:val="00BC655F"/>
    <w:rsid w:val="00BD3717"/>
    <w:rsid w:val="00BD4A9C"/>
    <w:rsid w:val="00BE1E62"/>
    <w:rsid w:val="00BF7052"/>
    <w:rsid w:val="00C034B4"/>
    <w:rsid w:val="00C05FAB"/>
    <w:rsid w:val="00C06C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CF5975"/>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E729C"/>
    <w:rsid w:val="00DF4E3D"/>
    <w:rsid w:val="00DF62F4"/>
    <w:rsid w:val="00E0021E"/>
    <w:rsid w:val="00E0430F"/>
    <w:rsid w:val="00E04A81"/>
    <w:rsid w:val="00E05E7B"/>
    <w:rsid w:val="00E136E5"/>
    <w:rsid w:val="00E1409F"/>
    <w:rsid w:val="00E20335"/>
    <w:rsid w:val="00E22965"/>
    <w:rsid w:val="00E2351D"/>
    <w:rsid w:val="00E25DCD"/>
    <w:rsid w:val="00E269E1"/>
    <w:rsid w:val="00E31EED"/>
    <w:rsid w:val="00E336F5"/>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4FC3"/>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554454"/>
  <w15:docId w15:val="{FCA69CCD-EE0B-4E71-99EF-AA1CBBF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System"/>
        <w:bCs/>
        <w:spacing w:val="2"/>
        <w:sz w:val="21"/>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val="0"/>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val="0"/>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val="0"/>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val="0"/>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val="0"/>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eastAsia="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h/k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1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9937522-EF55-4F1C-A517-B160CA84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 der Leistungsbeschreibung: Aus- und Weiterbildung für Sorgende und Pflegeeltern</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der Leistungsbeschreibung: Aus- und Weiterbildung für Sorgende und Pflegeeltern</dc:title>
  <dc:creator>KJA</dc:creator>
  <dc:description>numéro de document</dc:description>
  <cp:lastModifiedBy>Brunner Monique, DIJ-KJA</cp:lastModifiedBy>
  <cp:revision>5</cp:revision>
  <cp:lastPrinted>2020-10-07T11:53:00Z</cp:lastPrinted>
  <dcterms:created xsi:type="dcterms:W3CDTF">2020-10-07T11:59:00Z</dcterms:created>
  <dcterms:modified xsi:type="dcterms:W3CDTF">2022-01-27T09:35:00Z</dcterms:modified>
</cp:coreProperties>
</file>